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D0F9D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67ECACC2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7DAC8D8D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5FBF5CD2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B58D535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29F821D4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2F36981C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5C7638B2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3E69EC4A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009AB4BE" w14:textId="77777777" w:rsidR="00D018F7" w:rsidRPr="00505DA9" w:rsidRDefault="00D018F7" w:rsidP="00D018F7">
      <w:pPr>
        <w:spacing w:line="360" w:lineRule="auto"/>
        <w:ind w:right="-709"/>
        <w:jc w:val="center"/>
        <w:rPr>
          <w:rFonts w:ascii="Verdana" w:hAnsi="Verdana" w:cs="Arial"/>
          <w:bCs/>
          <w:sz w:val="32"/>
          <w:szCs w:val="32"/>
        </w:rPr>
      </w:pPr>
    </w:p>
    <w:p w14:paraId="4A14990A" w14:textId="0521A88C" w:rsidR="00D018F7" w:rsidRPr="0073333F" w:rsidRDefault="00D018F7" w:rsidP="00D018F7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Caderno I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II</w:t>
      </w: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 </w:t>
      </w:r>
    </w:p>
    <w:p w14:paraId="1340016F" w14:textId="23BDAF9F" w:rsidR="00D018F7" w:rsidRPr="0073333F" w:rsidRDefault="00D018F7" w:rsidP="00D018F7">
      <w:pPr>
        <w:spacing w:line="259" w:lineRule="auto"/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</w:pPr>
      <w:r w:rsidRPr="0073333F"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 xml:space="preserve">Modelagem </w:t>
      </w:r>
      <w:r>
        <w:rPr>
          <w:rFonts w:ascii="Verdana" w:eastAsiaTheme="majorEastAsia" w:hAnsi="Verdana" w:cstheme="majorBidi"/>
          <w:bCs/>
          <w:color w:val="1E428B"/>
          <w:spacing w:val="-10"/>
          <w:kern w:val="28"/>
          <w:sz w:val="54"/>
          <w:szCs w:val="54"/>
        </w:rPr>
        <w:t>Jurídica</w:t>
      </w:r>
    </w:p>
    <w:p w14:paraId="1983B460" w14:textId="77777777" w:rsidR="00D018F7" w:rsidRPr="00E73732" w:rsidRDefault="00D018F7" w:rsidP="00D018F7">
      <w:pPr>
        <w:rPr>
          <w:rFonts w:ascii="Verdana" w:hAnsi="Verdana" w:cstheme="minorBidi"/>
          <w:bCs/>
          <w:sz w:val="32"/>
          <w:szCs w:val="32"/>
        </w:rPr>
      </w:pPr>
    </w:p>
    <w:p w14:paraId="6CAB916D" w14:textId="77777777" w:rsidR="00D018F7" w:rsidRPr="00E73732" w:rsidRDefault="00D018F7" w:rsidP="00D018F7">
      <w:pPr>
        <w:rPr>
          <w:rFonts w:ascii="Verdana" w:hAnsi="Verdana" w:cstheme="minorBidi"/>
          <w:bCs/>
          <w:sz w:val="32"/>
          <w:szCs w:val="32"/>
        </w:rPr>
      </w:pPr>
    </w:p>
    <w:p w14:paraId="0CF6F88A" w14:textId="77777777" w:rsidR="00D018F7" w:rsidRPr="00E73732" w:rsidRDefault="00D018F7" w:rsidP="00D018F7">
      <w:pPr>
        <w:rPr>
          <w:rFonts w:ascii="Verdana" w:hAnsi="Verdana" w:cs="Arial"/>
          <w:bCs/>
          <w:sz w:val="32"/>
          <w:szCs w:val="32"/>
        </w:rPr>
      </w:pPr>
      <w:bookmarkStart w:id="0" w:name="_Hlk207806655"/>
      <w:r w:rsidRPr="00E73732">
        <w:rPr>
          <w:rFonts w:ascii="Verdana" w:hAnsi="Verdana" w:cs="Arial"/>
          <w:bCs/>
          <w:sz w:val="32"/>
          <w:szCs w:val="32"/>
        </w:rPr>
        <w:t>Atualização dos estudos de viabilidade técnica,</w:t>
      </w:r>
      <w:r>
        <w:rPr>
          <w:rFonts w:ascii="Verdana" w:hAnsi="Verdana" w:cs="Arial"/>
          <w:bCs/>
          <w:sz w:val="32"/>
          <w:szCs w:val="32"/>
        </w:rPr>
        <w:t xml:space="preserve"> </w:t>
      </w:r>
      <w:r w:rsidRPr="00E73732">
        <w:rPr>
          <w:rFonts w:ascii="Verdana" w:hAnsi="Verdana" w:cs="Arial"/>
          <w:bCs/>
          <w:sz w:val="32"/>
          <w:szCs w:val="32"/>
        </w:rPr>
        <w:t>econômico-financeira e jurídica para o</w:t>
      </w:r>
      <w:r>
        <w:rPr>
          <w:rFonts w:ascii="Verdana" w:hAnsi="Verdana" w:cs="Arial"/>
          <w:bCs/>
          <w:sz w:val="32"/>
          <w:szCs w:val="32"/>
        </w:rPr>
        <w:t xml:space="preserve"> </w:t>
      </w:r>
      <w:r w:rsidRPr="00E73732">
        <w:rPr>
          <w:rFonts w:ascii="Verdana" w:hAnsi="Verdana" w:cs="Arial"/>
          <w:bCs/>
          <w:sz w:val="32"/>
          <w:szCs w:val="32"/>
        </w:rPr>
        <w:t>aproveitamento energético de resíduos sólidos</w:t>
      </w:r>
      <w:r>
        <w:rPr>
          <w:rFonts w:ascii="Verdana" w:hAnsi="Verdana" w:cs="Arial"/>
          <w:bCs/>
          <w:sz w:val="32"/>
          <w:szCs w:val="32"/>
        </w:rPr>
        <w:t xml:space="preserve"> </w:t>
      </w:r>
      <w:r w:rsidRPr="00E73732">
        <w:rPr>
          <w:rFonts w:ascii="Verdana" w:hAnsi="Verdana" w:cs="Arial"/>
          <w:bCs/>
          <w:sz w:val="32"/>
          <w:szCs w:val="32"/>
        </w:rPr>
        <w:t>urbanos do município de Marília.</w:t>
      </w:r>
    </w:p>
    <w:bookmarkEnd w:id="0"/>
    <w:p w14:paraId="79A97602" w14:textId="77777777" w:rsidR="00D018F7" w:rsidRPr="00E73732" w:rsidRDefault="00D018F7" w:rsidP="00D018F7">
      <w:pPr>
        <w:jc w:val="both"/>
        <w:rPr>
          <w:rFonts w:ascii="Verdana" w:hAnsi="Verdana" w:cs="Arial"/>
          <w:bCs/>
          <w:sz w:val="32"/>
          <w:szCs w:val="32"/>
        </w:rPr>
      </w:pPr>
    </w:p>
    <w:p w14:paraId="75212D8C" w14:textId="77777777" w:rsidR="00D018F7" w:rsidRPr="00E73732" w:rsidRDefault="00D018F7" w:rsidP="00D018F7">
      <w:pPr>
        <w:jc w:val="both"/>
        <w:rPr>
          <w:rFonts w:ascii="Verdana" w:hAnsi="Verdana" w:cs="Arial"/>
          <w:bCs/>
          <w:sz w:val="32"/>
          <w:szCs w:val="32"/>
        </w:rPr>
      </w:pPr>
    </w:p>
    <w:p w14:paraId="14DD59C2" w14:textId="77777777" w:rsidR="00D018F7" w:rsidRDefault="00D018F7" w:rsidP="00D018F7">
      <w:pPr>
        <w:jc w:val="both"/>
        <w:rPr>
          <w:rFonts w:ascii="Verdana" w:hAnsi="Verdana" w:cs="Arial"/>
          <w:bCs/>
          <w:sz w:val="32"/>
          <w:szCs w:val="32"/>
        </w:rPr>
      </w:pPr>
    </w:p>
    <w:p w14:paraId="0AC931BC" w14:textId="77777777" w:rsidR="00D018F7" w:rsidRPr="00E73732" w:rsidRDefault="00D018F7" w:rsidP="00D018F7">
      <w:pPr>
        <w:jc w:val="both"/>
        <w:rPr>
          <w:rFonts w:ascii="Verdana" w:hAnsi="Verdana" w:cs="Arial"/>
          <w:bCs/>
          <w:sz w:val="32"/>
          <w:szCs w:val="32"/>
        </w:rPr>
      </w:pPr>
    </w:p>
    <w:p w14:paraId="6385ACFF" w14:textId="77777777" w:rsidR="00D018F7" w:rsidRPr="0073333F" w:rsidRDefault="00D018F7" w:rsidP="00D018F7">
      <w:pPr>
        <w:rPr>
          <w:rFonts w:ascii="Verdana" w:hAnsi="Verdana" w:cstheme="minorBidi"/>
          <w:b/>
          <w:i/>
          <w:iCs/>
        </w:rPr>
      </w:pPr>
      <w:r w:rsidRPr="0073333F">
        <w:rPr>
          <w:rFonts w:ascii="Verdana" w:hAnsi="Verdana" w:cstheme="minorBidi"/>
          <w:i/>
          <w:iCs/>
          <w:sz w:val="22"/>
        </w:rPr>
        <w:t>Desenvolvimento</w:t>
      </w:r>
      <w:r w:rsidRPr="0073333F">
        <w:rPr>
          <w:rFonts w:ascii="Verdana" w:hAnsi="Verdana" w:cstheme="minorBidi"/>
          <w:i/>
          <w:iCs/>
        </w:rPr>
        <w:t>:</w:t>
      </w:r>
    </w:p>
    <w:p w14:paraId="1A4A9937" w14:textId="77777777" w:rsidR="00D018F7" w:rsidRDefault="00D018F7" w:rsidP="00D018F7">
      <w:pPr>
        <w:rPr>
          <w:rFonts w:ascii="Verdana" w:hAnsi="Verdana" w:cs="Arial"/>
          <w:bCs/>
          <w:sz w:val="32"/>
          <w:szCs w:val="32"/>
        </w:rPr>
      </w:pPr>
    </w:p>
    <w:p w14:paraId="3AE4A002" w14:textId="77777777" w:rsidR="00D018F7" w:rsidRDefault="00D018F7" w:rsidP="00D018F7">
      <w:pPr>
        <w:rPr>
          <w:rFonts w:ascii="Verdana" w:hAnsi="Verdana" w:cs="Arial"/>
          <w:b/>
          <w:sz w:val="32"/>
          <w:szCs w:val="32"/>
        </w:rPr>
      </w:pPr>
      <w:r w:rsidRPr="00505DA9">
        <w:rPr>
          <w:rFonts w:ascii="Verdana" w:hAnsi="Verdana" w:cs="Arial"/>
          <w:bCs/>
          <w:noProof/>
          <w:sz w:val="32"/>
          <w:szCs w:val="32"/>
        </w:rPr>
        <w:drawing>
          <wp:inline distT="0" distB="0" distL="0" distR="0" wp14:anchorId="6FDB3C13" wp14:editId="489C8C74">
            <wp:extent cx="1987468" cy="554784"/>
            <wp:effectExtent l="0" t="0" r="0" b="0"/>
            <wp:docPr id="10" name="Imagem 9">
              <a:extLst xmlns:a="http://schemas.openxmlformats.org/drawingml/2006/main">
                <a:ext uri="{FF2B5EF4-FFF2-40B4-BE49-F238E27FC236}">
                  <a16:creationId xmlns:a16="http://schemas.microsoft.com/office/drawing/2014/main" id="{FABB68CF-7A01-4EBF-F706-B623B130DE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m 9">
                      <a:extLst>
                        <a:ext uri="{FF2B5EF4-FFF2-40B4-BE49-F238E27FC236}">
                          <a16:creationId xmlns:a16="http://schemas.microsoft.com/office/drawing/2014/main" id="{FABB68CF-7A01-4EBF-F706-B623B130DE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7468" cy="5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b/>
          <w:sz w:val="32"/>
          <w:szCs w:val="32"/>
        </w:rPr>
        <w:t xml:space="preserve"> </w:t>
      </w:r>
      <w:r>
        <w:rPr>
          <w:rFonts w:ascii="Verdana" w:hAnsi="Verdana" w:cs="Arial"/>
          <w:b/>
          <w:sz w:val="32"/>
          <w:szCs w:val="32"/>
        </w:rPr>
        <w:br w:type="page"/>
      </w:r>
    </w:p>
    <w:p w14:paraId="4E24D22C" w14:textId="77777777" w:rsidR="00D018F7" w:rsidRPr="00FA5D1E" w:rsidRDefault="00D018F7" w:rsidP="00D018F7">
      <w:pPr>
        <w:spacing w:line="360" w:lineRule="auto"/>
        <w:jc w:val="center"/>
        <w:rPr>
          <w:rFonts w:ascii="Verdana" w:hAnsi="Verdana" w:cs="Arial"/>
          <w:b/>
        </w:rPr>
      </w:pPr>
      <w:bookmarkStart w:id="1" w:name="_Hlk207809093"/>
    </w:p>
    <w:p w14:paraId="759FB467" w14:textId="77777777" w:rsidR="00D018F7" w:rsidRPr="00FA5D1E" w:rsidRDefault="00D018F7" w:rsidP="00D018F7">
      <w:pPr>
        <w:spacing w:line="360" w:lineRule="auto"/>
        <w:jc w:val="center"/>
        <w:rPr>
          <w:rFonts w:ascii="Verdana" w:hAnsi="Verdana" w:cs="Arial"/>
          <w:b/>
        </w:rPr>
      </w:pPr>
    </w:p>
    <w:p w14:paraId="0AD8CC22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  <w:r w:rsidRPr="00FA5D1E">
        <w:rPr>
          <w:rFonts w:ascii="Verdana" w:hAnsi="Verdana" w:cstheme="minorBidi"/>
          <w:b/>
        </w:rPr>
        <w:t>DESCRIÇÃO TÉCNICA</w:t>
      </w:r>
    </w:p>
    <w:p w14:paraId="3A1BD971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59719A84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7641AB51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50563BCF" w14:textId="49B890F0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  <w:r w:rsidRPr="00FA5D1E">
        <w:rPr>
          <w:rFonts w:ascii="Verdana" w:hAnsi="Verdana" w:cstheme="minorBidi"/>
          <w:b/>
        </w:rPr>
        <w:t>Caderno III – Modelagem Jurídica</w:t>
      </w:r>
    </w:p>
    <w:p w14:paraId="174157EE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40D7163C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167CCE4C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</w:p>
    <w:p w14:paraId="4D02EC8F" w14:textId="77777777" w:rsidR="00D018F7" w:rsidRPr="00FA5D1E" w:rsidRDefault="00D018F7" w:rsidP="00D018F7">
      <w:pPr>
        <w:rPr>
          <w:rFonts w:ascii="Verdana" w:hAnsi="Verdana"/>
          <w:color w:val="000000"/>
        </w:rPr>
      </w:pPr>
      <w:r w:rsidRPr="00FA5D1E">
        <w:rPr>
          <w:rFonts w:ascii="Verdana" w:hAnsi="Verdana"/>
          <w:color w:val="000000"/>
        </w:rPr>
        <w:t>Atualização dos estudos de viabilidade técnica, econômico-financeira e jurídica para o aproveitamento energético de resíduos sólidos urbanos do município de Marília.</w:t>
      </w:r>
    </w:p>
    <w:p w14:paraId="043A1793" w14:textId="77777777" w:rsidR="00D018F7" w:rsidRPr="00FA5D1E" w:rsidRDefault="00D018F7" w:rsidP="00D018F7">
      <w:pPr>
        <w:rPr>
          <w:rFonts w:ascii="Verdana" w:hAnsi="Verdana" w:cstheme="minorBidi"/>
        </w:rPr>
      </w:pPr>
    </w:p>
    <w:p w14:paraId="43A70BEA" w14:textId="77777777" w:rsidR="00D018F7" w:rsidRPr="00FA5D1E" w:rsidRDefault="00D018F7" w:rsidP="00D018F7">
      <w:pPr>
        <w:rPr>
          <w:rFonts w:ascii="Verdana" w:hAnsi="Verdana" w:cstheme="minorBidi"/>
        </w:rPr>
      </w:pPr>
    </w:p>
    <w:p w14:paraId="7A80DB9B" w14:textId="77777777" w:rsidR="00D018F7" w:rsidRPr="00FA5D1E" w:rsidRDefault="00D018F7" w:rsidP="00D018F7">
      <w:pPr>
        <w:rPr>
          <w:rFonts w:ascii="Verdana" w:hAnsi="Verdana" w:cstheme="minorBidi"/>
        </w:rPr>
      </w:pPr>
    </w:p>
    <w:p w14:paraId="3C75D414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  <w:r w:rsidRPr="00FA5D1E">
        <w:rPr>
          <w:rFonts w:ascii="Verdana" w:hAnsi="Verdana" w:cstheme="minorBidi"/>
        </w:rPr>
        <w:t>Setembro, 2025</w:t>
      </w:r>
    </w:p>
    <w:p w14:paraId="0F55C608" w14:textId="77777777" w:rsidR="00D018F7" w:rsidRPr="00FA5D1E" w:rsidRDefault="00D018F7" w:rsidP="00D018F7">
      <w:pPr>
        <w:spacing w:line="259" w:lineRule="auto"/>
        <w:rPr>
          <w:rFonts w:ascii="Verdana" w:hAnsi="Verdana" w:cstheme="minorBidi"/>
        </w:rPr>
      </w:pPr>
    </w:p>
    <w:p w14:paraId="689ACE50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</w:p>
    <w:p w14:paraId="15E9AFC0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</w:p>
    <w:p w14:paraId="410826AD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  <w:b/>
        </w:rPr>
      </w:pPr>
      <w:r w:rsidRPr="00FA5D1E">
        <w:rPr>
          <w:rFonts w:ascii="Verdana" w:hAnsi="Verdana" w:cstheme="minorBidi"/>
          <w:b/>
        </w:rPr>
        <w:t>PREFEITURA MUNICIPAL DE MARÍLIA</w:t>
      </w:r>
    </w:p>
    <w:p w14:paraId="70C09116" w14:textId="68FD7564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  <w:r w:rsidRPr="00FA5D1E">
        <w:rPr>
          <w:rFonts w:ascii="Verdana" w:hAnsi="Verdana" w:cstheme="minorBidi"/>
          <w:b/>
        </w:rPr>
        <w:t xml:space="preserve">SECRETARIA DE MEIO AMBIENTE E </w:t>
      </w:r>
      <w:r w:rsidR="000D3D33" w:rsidRPr="00FA5D1E">
        <w:rPr>
          <w:rFonts w:ascii="Verdana" w:hAnsi="Verdana" w:cstheme="minorBidi"/>
          <w:b/>
        </w:rPr>
        <w:t xml:space="preserve">SERVIÇOS </w:t>
      </w:r>
      <w:r w:rsidRPr="00FA5D1E">
        <w:rPr>
          <w:rFonts w:ascii="Verdana" w:hAnsi="Verdana" w:cstheme="minorBidi"/>
          <w:b/>
        </w:rPr>
        <w:t>PÚBLIC</w:t>
      </w:r>
      <w:r w:rsidR="000D3D33">
        <w:rPr>
          <w:rFonts w:ascii="Verdana" w:hAnsi="Verdana" w:cstheme="minorBidi"/>
          <w:b/>
        </w:rPr>
        <w:t>OS</w:t>
      </w:r>
    </w:p>
    <w:p w14:paraId="268AFBD2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</w:p>
    <w:p w14:paraId="3CEB6076" w14:textId="77777777" w:rsidR="00D018F7" w:rsidRPr="00FA5D1E" w:rsidRDefault="00D018F7" w:rsidP="00D018F7">
      <w:pPr>
        <w:spacing w:line="259" w:lineRule="auto"/>
        <w:jc w:val="center"/>
        <w:rPr>
          <w:rFonts w:ascii="Verdana" w:hAnsi="Verdana" w:cstheme="minorBidi"/>
        </w:rPr>
      </w:pPr>
    </w:p>
    <w:bookmarkEnd w:id="1"/>
    <w:p w14:paraId="2CE0590C" w14:textId="77777777" w:rsidR="00D018F7" w:rsidRPr="00FA5D1E" w:rsidRDefault="00D018F7" w:rsidP="00D018F7">
      <w:pPr>
        <w:rPr>
          <w:rFonts w:ascii="Verdana" w:hAnsi="Verdana" w:cs="Arial"/>
          <w:b/>
          <w:sz w:val="32"/>
          <w:szCs w:val="32"/>
        </w:rPr>
      </w:pPr>
      <w:r w:rsidRPr="00FA5D1E">
        <w:rPr>
          <w:rFonts w:ascii="Verdana" w:hAnsi="Verdana" w:cs="Arial"/>
          <w:b/>
          <w:sz w:val="32"/>
          <w:szCs w:val="32"/>
        </w:rPr>
        <w:br w:type="page"/>
      </w:r>
    </w:p>
    <w:p w14:paraId="37307245" w14:textId="4F378602" w:rsidR="00D708E3" w:rsidRPr="00FA5D1E" w:rsidRDefault="00D708E3" w:rsidP="00FA5D1E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bookmarkStart w:id="2" w:name="_Toc207895396"/>
      <w:r w:rsidRPr="00FA5D1E">
        <w:rPr>
          <w:rFonts w:ascii="Verdana" w:hAnsi="Verdana"/>
          <w:i w:val="0"/>
          <w:iCs w:val="0"/>
          <w:sz w:val="24"/>
          <w:szCs w:val="24"/>
        </w:rPr>
        <w:lastRenderedPageBreak/>
        <w:t>CONSIDERAÇÕES PRELIMINARES</w:t>
      </w:r>
      <w:bookmarkEnd w:id="2"/>
    </w:p>
    <w:p w14:paraId="5D3923BC" w14:textId="42F88623" w:rsidR="00672903" w:rsidRPr="00FA5D1E" w:rsidRDefault="00672903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Pr="00FA5D1E">
        <w:rPr>
          <w:rFonts w:ascii="Verdana" w:hAnsi="Verdana"/>
          <w:sz w:val="18"/>
          <w:szCs w:val="18"/>
        </w:rPr>
        <w:t xml:space="preserve"> o Ofício encaminhado pela Secretaria de </w:t>
      </w:r>
      <w:r w:rsidR="000D3D33">
        <w:rPr>
          <w:rFonts w:ascii="Verdana" w:hAnsi="Verdana"/>
          <w:sz w:val="18"/>
          <w:szCs w:val="18"/>
        </w:rPr>
        <w:t xml:space="preserve">Meio Ambiente e </w:t>
      </w:r>
      <w:r w:rsidRPr="00FA5D1E">
        <w:rPr>
          <w:rFonts w:ascii="Verdana" w:hAnsi="Verdana"/>
          <w:sz w:val="18"/>
          <w:szCs w:val="18"/>
        </w:rPr>
        <w:t xml:space="preserve">Serviços </w:t>
      </w:r>
      <w:r w:rsidR="000D3D33">
        <w:rPr>
          <w:rFonts w:ascii="Verdana" w:hAnsi="Verdana"/>
          <w:sz w:val="18"/>
          <w:szCs w:val="18"/>
        </w:rPr>
        <w:t xml:space="preserve">Públicos </w:t>
      </w:r>
      <w:r w:rsidRPr="00FA5D1E">
        <w:rPr>
          <w:rFonts w:ascii="Verdana" w:hAnsi="Verdana"/>
          <w:sz w:val="18"/>
          <w:szCs w:val="18"/>
        </w:rPr>
        <w:t xml:space="preserve">de Marília 001/2025, de 31 de </w:t>
      </w:r>
      <w:proofErr w:type="gramStart"/>
      <w:r w:rsidRPr="00FA5D1E">
        <w:rPr>
          <w:rFonts w:ascii="Verdana" w:hAnsi="Verdana"/>
          <w:sz w:val="18"/>
          <w:szCs w:val="18"/>
        </w:rPr>
        <w:t>Janeiro</w:t>
      </w:r>
      <w:proofErr w:type="gramEnd"/>
      <w:r w:rsidRPr="00FA5D1E">
        <w:rPr>
          <w:rFonts w:ascii="Verdana" w:hAnsi="Verdana"/>
          <w:sz w:val="18"/>
          <w:szCs w:val="18"/>
        </w:rPr>
        <w:t xml:space="preserve"> de 2025 convocando a WBIO a atualizar os estudos apresentados no processo de manifestação de interesse (PMI) SMALP 001/2017, cujo objeto foi homologado e publicado no diário oficial do município de Marília na data de 14 de </w:t>
      </w:r>
      <w:proofErr w:type="gramStart"/>
      <w:r w:rsidRPr="00FA5D1E">
        <w:rPr>
          <w:rFonts w:ascii="Verdana" w:hAnsi="Verdana"/>
          <w:sz w:val="18"/>
          <w:szCs w:val="18"/>
        </w:rPr>
        <w:t>Junho</w:t>
      </w:r>
      <w:proofErr w:type="gramEnd"/>
      <w:r w:rsidRPr="00FA5D1E">
        <w:rPr>
          <w:rFonts w:ascii="Verdana" w:hAnsi="Verdana"/>
          <w:sz w:val="18"/>
          <w:szCs w:val="18"/>
        </w:rPr>
        <w:t xml:space="preserve"> de 2018, os quais instruíram o Edital 009/2018.</w:t>
      </w:r>
    </w:p>
    <w:p w14:paraId="17354C4B" w14:textId="511BA138" w:rsidR="00672903" w:rsidRPr="00FA5D1E" w:rsidRDefault="00672903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Pr="00FA5D1E">
        <w:rPr>
          <w:rFonts w:ascii="Verdana" w:hAnsi="Verdana"/>
          <w:sz w:val="18"/>
          <w:szCs w:val="18"/>
        </w:rPr>
        <w:t xml:space="preserve"> que referida atualização e eventual indicação de novas tecnologias acompanhadas das devidas informações pertinentes e eventuais ajustes necessários nos documentos previamente aprovados.</w:t>
      </w:r>
    </w:p>
    <w:p w14:paraId="41E9CCB2" w14:textId="4210829F" w:rsidR="00672903" w:rsidRPr="00FA5D1E" w:rsidRDefault="00672903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Pr="00FA5D1E">
        <w:rPr>
          <w:rFonts w:ascii="Verdana" w:hAnsi="Verdana"/>
          <w:sz w:val="18"/>
          <w:szCs w:val="18"/>
        </w:rPr>
        <w:t xml:space="preserve"> a necessidade de atualização do Plano Municipal de Gestão Integrada de Resíduos Sólidos de Marília;</w:t>
      </w:r>
    </w:p>
    <w:p w14:paraId="5DFF8DC0" w14:textId="1C58D73F" w:rsidR="00D708E3" w:rsidRPr="00FA5D1E" w:rsidRDefault="00E52807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="00D708E3" w:rsidRPr="00FA5D1E">
        <w:rPr>
          <w:rFonts w:ascii="Verdana" w:hAnsi="Verdana"/>
          <w:sz w:val="18"/>
          <w:szCs w:val="18"/>
        </w:rPr>
        <w:t xml:space="preserve"> a aprovação do Plano Municipal de Gestação Integrada de Resíduos Sólidos de Marília, o qual foi revisado e aprovado pela Lei 9.278, de 26 de </w:t>
      </w:r>
      <w:proofErr w:type="gramStart"/>
      <w:r w:rsidR="00D708E3" w:rsidRPr="00FA5D1E">
        <w:rPr>
          <w:rFonts w:ascii="Verdana" w:hAnsi="Verdana"/>
          <w:sz w:val="18"/>
          <w:szCs w:val="18"/>
        </w:rPr>
        <w:t>Junho</w:t>
      </w:r>
      <w:proofErr w:type="gramEnd"/>
      <w:r w:rsidR="00D708E3" w:rsidRPr="00FA5D1E">
        <w:rPr>
          <w:rFonts w:ascii="Verdana" w:hAnsi="Verdana"/>
          <w:sz w:val="18"/>
          <w:szCs w:val="18"/>
        </w:rPr>
        <w:t xml:space="preserve"> de 2025.</w:t>
      </w:r>
    </w:p>
    <w:p w14:paraId="70AD871E" w14:textId="090048AC" w:rsidR="00D708E3" w:rsidRPr="00FA5D1E" w:rsidRDefault="00E52807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="00D708E3" w:rsidRPr="00FA5D1E">
        <w:rPr>
          <w:rFonts w:ascii="Verdana" w:hAnsi="Verdana"/>
          <w:sz w:val="18"/>
          <w:szCs w:val="18"/>
        </w:rPr>
        <w:t xml:space="preserve"> as disposições sobre valorização energética, inclusão social e metas de redução de aterro devem estar alinhadas às metas e diretrizes no novo Plano Municipal de Gestação Integrada de Resíduos Sólidos de Marília.</w:t>
      </w:r>
    </w:p>
    <w:p w14:paraId="410695A4" w14:textId="6AF0B032" w:rsidR="00D708E3" w:rsidRPr="00FA5D1E" w:rsidRDefault="00E52807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="00D708E3" w:rsidRPr="00FA5D1E">
        <w:rPr>
          <w:rFonts w:ascii="Verdana" w:hAnsi="Verdana"/>
          <w:sz w:val="18"/>
          <w:szCs w:val="18"/>
        </w:rPr>
        <w:t xml:space="preserve"> que este Caderno III deve destacar que a modelagem jurídica dá efetividade ao Plano Municipal de Gestação Integrada de Resíduos Sólidos de Marília revisado em atendimento ao artigo 1º da Lei 9.278, de 26 de </w:t>
      </w:r>
      <w:proofErr w:type="gramStart"/>
      <w:r w:rsidR="00D708E3" w:rsidRPr="00FA5D1E">
        <w:rPr>
          <w:rFonts w:ascii="Verdana" w:hAnsi="Verdana"/>
          <w:sz w:val="18"/>
          <w:szCs w:val="18"/>
        </w:rPr>
        <w:t>Junho</w:t>
      </w:r>
      <w:proofErr w:type="gramEnd"/>
      <w:r w:rsidR="00D708E3" w:rsidRPr="00FA5D1E">
        <w:rPr>
          <w:rFonts w:ascii="Verdana" w:hAnsi="Verdana"/>
          <w:sz w:val="18"/>
          <w:szCs w:val="18"/>
        </w:rPr>
        <w:t xml:space="preserve"> de 2025.</w:t>
      </w:r>
    </w:p>
    <w:p w14:paraId="7229CCC5" w14:textId="412B2526" w:rsidR="00D708E3" w:rsidRPr="00FA5D1E" w:rsidRDefault="00E52807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="00D708E3" w:rsidRPr="00FA5D1E">
        <w:rPr>
          <w:rFonts w:ascii="Verdana" w:hAnsi="Verdana"/>
          <w:sz w:val="18"/>
          <w:szCs w:val="18"/>
        </w:rPr>
        <w:t xml:space="preserve"> que a </w:t>
      </w:r>
      <w:r w:rsidRPr="00FA5D1E">
        <w:rPr>
          <w:rFonts w:ascii="Verdana" w:hAnsi="Verdana"/>
          <w:sz w:val="18"/>
          <w:szCs w:val="18"/>
        </w:rPr>
        <w:t>integração d</w:t>
      </w:r>
      <w:r w:rsidR="00705A5E" w:rsidRPr="00FA5D1E">
        <w:rPr>
          <w:rFonts w:ascii="Verdana" w:hAnsi="Verdana"/>
          <w:sz w:val="18"/>
          <w:szCs w:val="18"/>
        </w:rPr>
        <w:t>o Plano Municipal de Gestão Integrada de Resíduos Sólidos de Marília, revisado e aprovado pel</w:t>
      </w:r>
      <w:r w:rsidRPr="00FA5D1E">
        <w:rPr>
          <w:rFonts w:ascii="Verdana" w:hAnsi="Verdana"/>
          <w:sz w:val="18"/>
          <w:szCs w:val="18"/>
        </w:rPr>
        <w:t xml:space="preserve">a Lei 9.278, de 26 de </w:t>
      </w:r>
      <w:proofErr w:type="gramStart"/>
      <w:r w:rsidRPr="00FA5D1E">
        <w:rPr>
          <w:rFonts w:ascii="Verdana" w:hAnsi="Verdana"/>
          <w:sz w:val="18"/>
          <w:szCs w:val="18"/>
        </w:rPr>
        <w:t>Junho</w:t>
      </w:r>
      <w:proofErr w:type="gramEnd"/>
      <w:r w:rsidRPr="00FA5D1E">
        <w:rPr>
          <w:rFonts w:ascii="Verdana" w:hAnsi="Verdana"/>
          <w:sz w:val="18"/>
          <w:szCs w:val="18"/>
        </w:rPr>
        <w:t xml:space="preserve"> de 2025, à P</w:t>
      </w:r>
      <w:r w:rsidR="00D708E3" w:rsidRPr="00FA5D1E">
        <w:rPr>
          <w:rFonts w:ascii="Verdana" w:hAnsi="Verdana"/>
          <w:sz w:val="18"/>
          <w:szCs w:val="18"/>
        </w:rPr>
        <w:t>olítica Nacional de Resíduos Sólidos</w:t>
      </w:r>
      <w:r w:rsidRPr="00FA5D1E">
        <w:rPr>
          <w:rFonts w:ascii="Verdana" w:hAnsi="Verdana"/>
          <w:sz w:val="18"/>
          <w:szCs w:val="18"/>
        </w:rPr>
        <w:t xml:space="preserve"> – Lei 12.305/2010, à Política Estadual – Lei 12.300/2006 e às Normas CONAMA, as quais respaldam juridicamente à adoção de Parceria Público Privada para tratamento e recuperação energética das frações secas e úmidas (orgânicas) dos Resíduos Sólidos Domésticos de Marília e Região.</w:t>
      </w:r>
    </w:p>
    <w:p w14:paraId="38516CA4" w14:textId="76E57C32" w:rsidR="00F93C14" w:rsidRDefault="00F93C14" w:rsidP="00F93C14">
      <w:pPr>
        <w:spacing w:line="360" w:lineRule="auto"/>
        <w:ind w:right="-709"/>
        <w:jc w:val="both"/>
        <w:rPr>
          <w:rFonts w:ascii="Verdana" w:hAnsi="Verdana" w:cs="Esphimere"/>
          <w:color w:val="000000"/>
          <w:sz w:val="18"/>
          <w:szCs w:val="18"/>
        </w:rPr>
      </w:pPr>
      <w:r w:rsidRPr="00FA5D1E">
        <w:rPr>
          <w:rFonts w:ascii="Verdana" w:hAnsi="Verdana"/>
          <w:b/>
          <w:bCs/>
          <w:sz w:val="18"/>
          <w:szCs w:val="18"/>
        </w:rPr>
        <w:t>CONSIDERANDO</w:t>
      </w:r>
      <w:r w:rsidRPr="00FA5D1E">
        <w:rPr>
          <w:rFonts w:ascii="Verdana" w:hAnsi="Verdana"/>
          <w:sz w:val="18"/>
          <w:szCs w:val="18"/>
        </w:rPr>
        <w:t xml:space="preserve"> que a presente licitação </w:t>
      </w:r>
      <w:r w:rsidRPr="00FA5D1E">
        <w:rPr>
          <w:rFonts w:ascii="Verdana" w:hAnsi="Verdana" w:cs="Esphimere"/>
          <w:color w:val="000000"/>
          <w:sz w:val="18"/>
          <w:szCs w:val="18"/>
        </w:rPr>
        <w:t>será processada sob o modo de disputa fechado, nos termos do artigo 56, inciso II, da Lei nº 14.133/2021.</w:t>
      </w:r>
    </w:p>
    <w:p w14:paraId="5E39016E" w14:textId="7826160F" w:rsidR="00C65F42" w:rsidRDefault="00C65F42">
      <w:pPr>
        <w:rPr>
          <w:rFonts w:ascii="Verdana" w:hAnsi="Verdana" w:cs="Esphimere"/>
          <w:color w:val="000000"/>
          <w:sz w:val="18"/>
          <w:szCs w:val="18"/>
        </w:rPr>
      </w:pPr>
      <w:r>
        <w:rPr>
          <w:rFonts w:ascii="Verdana" w:hAnsi="Verdana" w:cs="Esphimere"/>
          <w:color w:val="000000"/>
          <w:sz w:val="18"/>
          <w:szCs w:val="18"/>
        </w:rPr>
        <w:br w:type="page"/>
      </w:r>
    </w:p>
    <w:p w14:paraId="617B9197" w14:textId="6CB50B6F" w:rsidR="00E52807" w:rsidRPr="00FA5D1E" w:rsidRDefault="00E52807" w:rsidP="00FA5D1E">
      <w:pPr>
        <w:pStyle w:val="Ttulo2"/>
        <w:ind w:right="-709"/>
        <w:rPr>
          <w:rFonts w:ascii="Verdana" w:hAnsi="Verdana"/>
          <w:i w:val="0"/>
          <w:iCs w:val="0"/>
          <w:sz w:val="24"/>
          <w:szCs w:val="24"/>
        </w:rPr>
      </w:pPr>
      <w:bookmarkStart w:id="3" w:name="_Toc207895397"/>
      <w:r w:rsidRPr="00FA5D1E">
        <w:rPr>
          <w:rFonts w:ascii="Verdana" w:hAnsi="Verdana"/>
          <w:i w:val="0"/>
          <w:iCs w:val="0"/>
          <w:sz w:val="24"/>
          <w:szCs w:val="24"/>
        </w:rPr>
        <w:lastRenderedPageBreak/>
        <w:t>INTRODUÇÃO</w:t>
      </w:r>
      <w:bookmarkEnd w:id="3"/>
    </w:p>
    <w:p w14:paraId="4B4F5451" w14:textId="3D6273EE" w:rsidR="0078167D" w:rsidRDefault="00705A5E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  <w:r w:rsidRPr="00FA5D1E">
        <w:rPr>
          <w:rFonts w:ascii="Verdana" w:hAnsi="Verdana"/>
          <w:sz w:val="18"/>
          <w:szCs w:val="18"/>
        </w:rPr>
        <w:t xml:space="preserve">Este Caderno III – Modelagem Jurídica integra os Estudos de viabilidade técnica, econômico financeiro e jurídica para aproveitamento energético de resíduos sólidos domésticos do município de Marília, elaborado em atendimento à legislação federal, estadual e municipal, bem como ao Plano Municipal de gestão Integrada de Resíduos Sólidos – PMGIRS, revisado e aprovado pela Lei Ordinária 9.278, de 26 de </w:t>
      </w:r>
      <w:proofErr w:type="gramStart"/>
      <w:r w:rsidRPr="00FA5D1E">
        <w:rPr>
          <w:rFonts w:ascii="Verdana" w:hAnsi="Verdana"/>
          <w:sz w:val="18"/>
          <w:szCs w:val="18"/>
        </w:rPr>
        <w:t>Junho</w:t>
      </w:r>
      <w:proofErr w:type="gramEnd"/>
      <w:r w:rsidRPr="00FA5D1E">
        <w:rPr>
          <w:rFonts w:ascii="Verdana" w:hAnsi="Verdana"/>
          <w:sz w:val="18"/>
          <w:szCs w:val="18"/>
        </w:rPr>
        <w:t xml:space="preserve"> de 2025, publicada no Diário Oficial de Marília 3972, de 27 de </w:t>
      </w:r>
      <w:proofErr w:type="gramStart"/>
      <w:r w:rsidRPr="00FA5D1E">
        <w:rPr>
          <w:rFonts w:ascii="Verdana" w:hAnsi="Verdana"/>
          <w:sz w:val="18"/>
          <w:szCs w:val="18"/>
        </w:rPr>
        <w:t>Junho</w:t>
      </w:r>
      <w:proofErr w:type="gramEnd"/>
      <w:r w:rsidRPr="00FA5D1E">
        <w:rPr>
          <w:rFonts w:ascii="Verdana" w:hAnsi="Verdana"/>
          <w:sz w:val="18"/>
          <w:szCs w:val="18"/>
        </w:rPr>
        <w:t xml:space="preserve"> de 2025.</w:t>
      </w:r>
    </w:p>
    <w:p w14:paraId="10F0E3EB" w14:textId="77777777" w:rsidR="00995269" w:rsidRDefault="00995269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</w:p>
    <w:p w14:paraId="194CDC0B" w14:textId="63CEF981" w:rsidR="00995269" w:rsidRDefault="0099526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sz w:val="18"/>
          <w:szCs w:val="18"/>
        </w:rPr>
        <w:id w:val="-1048220337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738F347E" w14:textId="249D062A" w:rsidR="00E06A48" w:rsidRPr="009B1143" w:rsidRDefault="00E06A48" w:rsidP="00E06A48">
          <w:pPr>
            <w:pStyle w:val="Ttulo2"/>
            <w:rPr>
              <w:rFonts w:ascii="Verdana" w:hAnsi="Verdana"/>
              <w:i w:val="0"/>
              <w:iCs w:val="0"/>
              <w:sz w:val="24"/>
              <w:szCs w:val="24"/>
            </w:rPr>
          </w:pPr>
          <w:r w:rsidRPr="009B1143">
            <w:rPr>
              <w:rFonts w:ascii="Verdana" w:hAnsi="Verdana"/>
              <w:i w:val="0"/>
              <w:iCs w:val="0"/>
              <w:sz w:val="24"/>
              <w:szCs w:val="24"/>
            </w:rPr>
            <w:t>SUMÁRIO</w:t>
          </w:r>
        </w:p>
        <w:p w14:paraId="78591AE1" w14:textId="6C7D86C5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r w:rsidRPr="00E06A48">
            <w:rPr>
              <w:rFonts w:ascii="Verdana" w:hAnsi="Verdana"/>
              <w:sz w:val="18"/>
              <w:szCs w:val="18"/>
            </w:rPr>
            <w:fldChar w:fldCharType="begin"/>
          </w:r>
          <w:r w:rsidRPr="00E06A48">
            <w:rPr>
              <w:rFonts w:ascii="Verdana" w:hAnsi="Verdana"/>
              <w:sz w:val="18"/>
              <w:szCs w:val="18"/>
            </w:rPr>
            <w:instrText xml:space="preserve"> TOC \o "1-3" \h \z \u </w:instrText>
          </w:r>
          <w:r w:rsidRPr="00E06A48">
            <w:rPr>
              <w:rFonts w:ascii="Verdana" w:hAnsi="Verdana"/>
              <w:sz w:val="18"/>
              <w:szCs w:val="18"/>
            </w:rPr>
            <w:fldChar w:fldCharType="separate"/>
          </w:r>
          <w:hyperlink w:anchor="_Toc207895396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CONSIDERAÇÕES PRELIMINARES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_Toc207895396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3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D69302A" w14:textId="2B1688A4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397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INTRODUÇÃO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_Toc207895397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3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176969A4" w14:textId="73754D21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398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 DOS ESTUDOS JURÍDICOS - DAS REGULAMENTAÇÕES JURÍDICAS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_Toc207895398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2067CC3" w14:textId="4C276330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399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3.1. DAS NORMAS FEDERAIS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_Toc207895399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0DED29EC" w14:textId="28BFDB8D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0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1.2. DAS NORMAS ESTADUAIS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_Toc207895400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E6DF77B" w14:textId="06CAFE37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1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1.3. DA NORMA MUNICIPAL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_Toc207895401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BBC2517" w14:textId="45417454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2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1.4. DAS NORMAS TÉCNICAS AMBIENTAIS CORRELATAS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_Toc207895402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BE7C36A" w14:textId="774B4C63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3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1.5. DOS NORMATIVOS PARA TRATAMENTO TÉRMICO E/OU A BIODIGESTÃO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_Toc207895403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5408E1A" w14:textId="07465A61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4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1.5.1. DA LEGISLAÇÃO GERAL E PROGRAMAS NACIONAIS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_Toc207895404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5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898580E" w14:textId="491171C5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5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1.6. DO BIOGÁS E BIOMETANO — LEGISLAÇÃO ECONSÓRCIO/SPECÍFICA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_Toc207895405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6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6776FE67" w14:textId="4F5B1EBE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6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1.6.1. DAS LEIS ESTADUAIS DE INCENTIVO AO BIOGÁS E BIOMETANO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_Toc207895406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6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B0AB625" w14:textId="0F107EDA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7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1.7. DO TRATAMENTO TÉRMICO DE RESÍDUOS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_Toc207895407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7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4FA8587" w14:textId="39946BE6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8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1.8. DOS EFLUENTES LÍQUIDOS E ENQUADRAMENTO DE CORPOS D’ÁGUA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_Toc207895408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7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9E16EF2" w14:textId="1D8BF35E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09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1.9. DOS EFLUENTES ATMOSFÉRICOS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_Toc207895409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7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86A3120" w14:textId="4293BE0D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0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1.10. DA QUALIDADE DO AR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_Toc207895410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8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CEB7217" w14:textId="3EAE9D5D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1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1.11. DOS RESÍDUOS SÓLIDOS DOMÉSTICOS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_Toc207895411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8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F84B18C" w14:textId="2EF4F59D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2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1.12. DA JUSTIFICATIVA TÉCNICA DO MODELO JURÍDICO PROPOSTO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_Toc207895412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9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309C35DB" w14:textId="5C7C46D8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3" w:history="1">
            <w:r w:rsidRPr="00E06A48">
              <w:rPr>
                <w:rStyle w:val="Hyperlink"/>
                <w:rFonts w:ascii="Verdana" w:hAnsi="Verdana" w:cs="Calibri"/>
                <w:noProof/>
                <w:sz w:val="18"/>
                <w:szCs w:val="18"/>
              </w:rPr>
              <w:t>1.13. DA JUSTIFICATIVA JURÍDICA DO MODELO PROPOSTO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_Toc207895413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10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73CADEE8" w14:textId="49532825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4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1.13.1. DA FASE PREPARATÓRIA (PLANEJAMENTO)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_Toc207895414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11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8D66E01" w14:textId="7B93A972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5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1.13.2. DA ESTRUTURAÇÃO DO PROJETO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_Toc207895415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11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654702CA" w14:textId="0B38AFEE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6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1.13.3. DA LICITAÇÃO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_Toc207895416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11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7042E4D5" w14:textId="61C3CA30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7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1.13.4. DA CONTRATAÇÃO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_Toc207895417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12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151BD55" w14:textId="7210751D" w:rsidR="00E06A48" w:rsidRPr="00E06A48" w:rsidRDefault="00E06A48">
          <w:pPr>
            <w:pStyle w:val="Sumrio3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8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1.13.5. DA EXECUÇÃO E FISCALIZAÇÃO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_Toc207895418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12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47D94CC1" w14:textId="03713DCF" w:rsidR="00E06A48" w:rsidRPr="00E06A48" w:rsidRDefault="00E06A48">
          <w:pPr>
            <w:pStyle w:val="Sumrio2"/>
            <w:tabs>
              <w:tab w:val="right" w:leader="dot" w:pos="8637"/>
            </w:tabs>
            <w:rPr>
              <w:rFonts w:ascii="Verdana" w:eastAsiaTheme="minorEastAsia" w:hAnsi="Verdana" w:cstheme="minorBidi"/>
              <w:noProof/>
              <w:kern w:val="2"/>
              <w:sz w:val="18"/>
              <w:szCs w:val="18"/>
              <w14:ligatures w14:val="standardContextual"/>
            </w:rPr>
          </w:pPr>
          <w:hyperlink w:anchor="_Toc207895419" w:history="1">
            <w:r w:rsidRPr="00E06A48">
              <w:rPr>
                <w:rStyle w:val="Hyperlink"/>
                <w:rFonts w:ascii="Verdana" w:hAnsi="Verdana"/>
                <w:noProof/>
                <w:sz w:val="18"/>
                <w:szCs w:val="18"/>
              </w:rPr>
              <w:t>2. ANEXOS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tab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begin"/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instrText xml:space="preserve"> PAGEREF _Toc207895419 \h </w:instrTex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separate"/>
            </w:r>
            <w:r w:rsidR="00907E5A">
              <w:rPr>
                <w:rFonts w:ascii="Verdana" w:hAnsi="Verdana"/>
                <w:noProof/>
                <w:webHidden/>
                <w:sz w:val="18"/>
                <w:szCs w:val="18"/>
              </w:rPr>
              <w:t>13</w:t>
            </w:r>
            <w:r w:rsidRPr="00E06A48">
              <w:rPr>
                <w:rFonts w:ascii="Verdana" w:hAnsi="Verdana"/>
                <w:noProof/>
                <w:webHidden/>
                <w:sz w:val="18"/>
                <w:szCs w:val="18"/>
              </w:rPr>
              <w:fldChar w:fldCharType="end"/>
            </w:r>
          </w:hyperlink>
        </w:p>
        <w:p w14:paraId="57DDB0FF" w14:textId="28915716" w:rsidR="00E06A48" w:rsidRDefault="00E06A48">
          <w:r w:rsidRPr="00E06A48">
            <w:rPr>
              <w:rFonts w:ascii="Verdana" w:hAnsi="Verdana"/>
              <w:b/>
              <w:bCs/>
              <w:sz w:val="18"/>
              <w:szCs w:val="18"/>
            </w:rPr>
            <w:fldChar w:fldCharType="end"/>
          </w:r>
        </w:p>
      </w:sdtContent>
    </w:sdt>
    <w:p w14:paraId="1646A714" w14:textId="77777777" w:rsidR="00995269" w:rsidRDefault="00995269" w:rsidP="0078167D">
      <w:pPr>
        <w:spacing w:line="360" w:lineRule="auto"/>
        <w:ind w:right="-709"/>
        <w:jc w:val="both"/>
        <w:rPr>
          <w:rFonts w:ascii="Verdana" w:hAnsi="Verdana"/>
          <w:sz w:val="18"/>
          <w:szCs w:val="18"/>
        </w:rPr>
      </w:pPr>
    </w:p>
    <w:p w14:paraId="03D39649" w14:textId="6739273D" w:rsidR="00995269" w:rsidRDefault="0099526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1966EE4" w14:textId="7818F32D" w:rsidR="00BE2261" w:rsidRPr="00752A75" w:rsidRDefault="00705A5E" w:rsidP="00752A75">
      <w:pPr>
        <w:pStyle w:val="Ttulo2"/>
        <w:numPr>
          <w:ilvl w:val="0"/>
          <w:numId w:val="49"/>
        </w:numPr>
        <w:rPr>
          <w:rFonts w:ascii="Verdana" w:hAnsi="Verdana"/>
          <w:i w:val="0"/>
          <w:iCs w:val="0"/>
          <w:sz w:val="24"/>
          <w:szCs w:val="24"/>
        </w:rPr>
      </w:pPr>
      <w:bookmarkStart w:id="4" w:name="_Toc207895398"/>
      <w:r w:rsidRPr="00752A75">
        <w:rPr>
          <w:rFonts w:ascii="Verdana" w:hAnsi="Verdana"/>
          <w:i w:val="0"/>
          <w:iCs w:val="0"/>
          <w:sz w:val="24"/>
          <w:szCs w:val="24"/>
        </w:rPr>
        <w:lastRenderedPageBreak/>
        <w:t xml:space="preserve">DOS </w:t>
      </w:r>
      <w:r w:rsidR="00BE2261" w:rsidRPr="00752A75">
        <w:rPr>
          <w:rFonts w:ascii="Verdana" w:hAnsi="Verdana"/>
          <w:i w:val="0"/>
          <w:iCs w:val="0"/>
          <w:sz w:val="24"/>
          <w:szCs w:val="24"/>
        </w:rPr>
        <w:t>ESTUDOS JURÍDICOS</w:t>
      </w:r>
      <w:r w:rsidR="00B96D53" w:rsidRPr="00752A75">
        <w:rPr>
          <w:rFonts w:ascii="Verdana" w:hAnsi="Verdana"/>
          <w:i w:val="0"/>
          <w:iCs w:val="0"/>
          <w:sz w:val="24"/>
          <w:szCs w:val="24"/>
        </w:rPr>
        <w:t xml:space="preserve"> - </w:t>
      </w:r>
      <w:r w:rsidRPr="00752A75">
        <w:rPr>
          <w:rFonts w:ascii="Verdana" w:hAnsi="Verdana"/>
          <w:i w:val="0"/>
          <w:iCs w:val="0"/>
          <w:sz w:val="24"/>
          <w:szCs w:val="24"/>
        </w:rPr>
        <w:t>DA</w:t>
      </w:r>
      <w:r w:rsidR="00C82A3F" w:rsidRPr="00752A75">
        <w:rPr>
          <w:rFonts w:ascii="Verdana" w:hAnsi="Verdana"/>
          <w:i w:val="0"/>
          <w:iCs w:val="0"/>
          <w:sz w:val="24"/>
          <w:szCs w:val="24"/>
        </w:rPr>
        <w:t>S</w:t>
      </w:r>
      <w:r w:rsidRPr="00752A75">
        <w:rPr>
          <w:rFonts w:ascii="Verdana" w:hAnsi="Verdana"/>
          <w:i w:val="0"/>
          <w:iCs w:val="0"/>
          <w:sz w:val="24"/>
          <w:szCs w:val="24"/>
        </w:rPr>
        <w:t xml:space="preserve"> </w:t>
      </w:r>
      <w:r w:rsidR="00FF7C25" w:rsidRPr="00752A75">
        <w:rPr>
          <w:rFonts w:ascii="Verdana" w:hAnsi="Verdana"/>
          <w:i w:val="0"/>
          <w:iCs w:val="0"/>
          <w:sz w:val="24"/>
          <w:szCs w:val="24"/>
        </w:rPr>
        <w:t>REGULAMENTAÇÕES JURÍDICAS</w:t>
      </w:r>
      <w:bookmarkEnd w:id="4"/>
    </w:p>
    <w:p w14:paraId="40CAB632" w14:textId="77777777" w:rsidR="00752A75" w:rsidRPr="00752A75" w:rsidRDefault="00752A75" w:rsidP="00752A7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Os estudos jurídicos apresentados neste Caderno têm como finalidade embasar o modelo de concessão administrativa para implantação, operação e manutenção da Unidade de Recuperação Energética (URE) do Município de Marília, conforme diretrizes do Plano Municipal de Gestão Integrada de Resíduos Sólidos e nos termos das legislações federal, estadual e municipal aplicáveis.</w:t>
      </w:r>
    </w:p>
    <w:p w14:paraId="3BBC7807" w14:textId="77777777" w:rsidR="00752A75" w:rsidRPr="00752A75" w:rsidRDefault="00752A75" w:rsidP="00752A75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O presente estudo assegura:</w:t>
      </w:r>
    </w:p>
    <w:p w14:paraId="4855728B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Conformidade legal e regulatória do modelo;</w:t>
      </w:r>
    </w:p>
    <w:p w14:paraId="11181BB6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Estruturação contratual adequada ao interesse público;</w:t>
      </w:r>
    </w:p>
    <w:p w14:paraId="64EBC718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Distribuição eficiente de riscos;</w:t>
      </w:r>
    </w:p>
    <w:p w14:paraId="4441C37A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Observância da hierarquia da PNRS;</w:t>
      </w:r>
    </w:p>
    <w:p w14:paraId="29F4FE68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Controle, transparência e estabilidade jurídica;</w:t>
      </w:r>
    </w:p>
    <w:p w14:paraId="36D0A284" w14:textId="7777777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Segurança para o Poder Concedente e investidores privados.</w:t>
      </w:r>
    </w:p>
    <w:p w14:paraId="1B5C6445" w14:textId="77777777" w:rsidR="00752A75" w:rsidRPr="00752A75" w:rsidRDefault="00752A75" w:rsidP="00752A75">
      <w:pPr>
        <w:rPr>
          <w:rFonts w:ascii="Verdana" w:hAnsi="Verdana"/>
          <w:sz w:val="18"/>
          <w:szCs w:val="18"/>
        </w:rPr>
      </w:pPr>
    </w:p>
    <w:p w14:paraId="465FFEB4" w14:textId="7BAE13CE" w:rsidR="00AD3B56" w:rsidRPr="00752A75" w:rsidRDefault="00752A75" w:rsidP="003A4371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5" w:name="_Toc207895399"/>
      <w:r w:rsidRPr="00752A75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752A75">
        <w:rPr>
          <w:rFonts w:ascii="Verdana" w:hAnsi="Verdana" w:cs="Calibri"/>
          <w:i w:val="0"/>
          <w:iCs w:val="0"/>
          <w:sz w:val="24"/>
          <w:szCs w:val="24"/>
        </w:rPr>
        <w:t xml:space="preserve">.1. </w:t>
      </w:r>
      <w:r w:rsidR="00AD3B56" w:rsidRPr="00752A75">
        <w:rPr>
          <w:rFonts w:ascii="Verdana" w:hAnsi="Verdana" w:cs="Calibri"/>
          <w:i w:val="0"/>
          <w:iCs w:val="0"/>
          <w:sz w:val="24"/>
          <w:szCs w:val="24"/>
        </w:rPr>
        <w:t>DAS NORMAS FEDERAIS</w:t>
      </w:r>
      <w:bookmarkEnd w:id="5"/>
      <w:r>
        <w:rPr>
          <w:rFonts w:ascii="Verdana" w:hAnsi="Verdana" w:cs="Calibri"/>
          <w:i w:val="0"/>
          <w:iCs w:val="0"/>
          <w:sz w:val="24"/>
          <w:szCs w:val="24"/>
        </w:rPr>
        <w:t xml:space="preserve"> APLICÁVEIS</w:t>
      </w:r>
    </w:p>
    <w:p w14:paraId="1EBC52D9" w14:textId="77777777" w:rsidR="00752A75" w:rsidRDefault="00752A75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6EC8F26E" w14:textId="4DEB633A" w:rsidR="00752A75" w:rsidRPr="00752A75" w:rsidRDefault="00752A75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Constituem fundamento legal da concessão:</w:t>
      </w:r>
    </w:p>
    <w:p w14:paraId="366F0A0A" w14:textId="2629FB40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 xml:space="preserve">Constituição Federal, especialmente </w:t>
      </w:r>
      <w:proofErr w:type="spellStart"/>
      <w:r w:rsidRPr="00752A75">
        <w:rPr>
          <w:rFonts w:ascii="Verdana" w:hAnsi="Verdana" w:cs="Arial"/>
          <w:sz w:val="18"/>
          <w:szCs w:val="18"/>
        </w:rPr>
        <w:t>arts</w:t>
      </w:r>
      <w:proofErr w:type="spellEnd"/>
      <w:r w:rsidRPr="00752A75">
        <w:rPr>
          <w:rFonts w:ascii="Verdana" w:hAnsi="Verdana" w:cs="Arial"/>
          <w:sz w:val="18"/>
          <w:szCs w:val="18"/>
        </w:rPr>
        <w:t>. 30, 175 e 225;</w:t>
      </w:r>
    </w:p>
    <w:p w14:paraId="5CE0F6D3" w14:textId="77667B2B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Lei 11.079/2004 – Marco das Parcerias Público-Privadas;</w:t>
      </w:r>
    </w:p>
    <w:p w14:paraId="3D69EAA6" w14:textId="52B4E480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Lei 14.133/2021 – Nova Lei de Licitações e Contratos Administrativos;</w:t>
      </w:r>
    </w:p>
    <w:p w14:paraId="235BAEA9" w14:textId="79D0129F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Lei 12.305/2010 – Política Nacional de Resíduos Sólidos (PNRS);</w:t>
      </w:r>
    </w:p>
    <w:p w14:paraId="0F484065" w14:textId="3CD06717" w:rsidR="00752A75" w:rsidRP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Lei 9.605/1998 – Lei de Crimes Ambientais;</w:t>
      </w:r>
    </w:p>
    <w:p w14:paraId="0D5B52E9" w14:textId="21E9E220" w:rsidR="00752A75" w:rsidRDefault="00752A75" w:rsidP="00752A75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752A75">
        <w:rPr>
          <w:rFonts w:ascii="Verdana" w:hAnsi="Verdana" w:cs="Arial"/>
          <w:sz w:val="18"/>
          <w:szCs w:val="18"/>
        </w:rPr>
        <w:t>Resoluções CONAMA pertinentes (especialmente 316/2002, 382/2006 e 430/2011).</w:t>
      </w:r>
    </w:p>
    <w:p w14:paraId="264DF98F" w14:textId="77777777" w:rsidR="00752A75" w:rsidRDefault="00752A75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43305342" w14:textId="4456C878" w:rsidR="00AD3B56" w:rsidRPr="00752A75" w:rsidRDefault="00995269" w:rsidP="003A4371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6" w:name="_Toc207895400"/>
      <w:r w:rsidRPr="00752A75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752A75">
        <w:rPr>
          <w:rFonts w:ascii="Verdana" w:hAnsi="Verdana" w:cs="Calibri"/>
          <w:i w:val="0"/>
          <w:iCs w:val="0"/>
          <w:sz w:val="24"/>
          <w:szCs w:val="24"/>
        </w:rPr>
        <w:t xml:space="preserve">.2. </w:t>
      </w:r>
      <w:r w:rsidR="00AD3B56" w:rsidRPr="00752A75">
        <w:rPr>
          <w:rFonts w:ascii="Verdana" w:hAnsi="Verdana" w:cs="Calibri"/>
          <w:i w:val="0"/>
          <w:iCs w:val="0"/>
          <w:sz w:val="24"/>
          <w:szCs w:val="24"/>
        </w:rPr>
        <w:t>DAS NORMAS ESTADUAIS</w:t>
      </w:r>
      <w:bookmarkEnd w:id="6"/>
      <w:r w:rsidR="000232C0">
        <w:rPr>
          <w:rFonts w:ascii="Verdana" w:hAnsi="Verdana" w:cs="Calibri"/>
          <w:i w:val="0"/>
          <w:iCs w:val="0"/>
          <w:sz w:val="24"/>
          <w:szCs w:val="24"/>
        </w:rPr>
        <w:t xml:space="preserve"> APLICÁVEIS</w:t>
      </w:r>
    </w:p>
    <w:p w14:paraId="46A7D406" w14:textId="77777777" w:rsidR="000232C0" w:rsidRDefault="000232C0" w:rsidP="00AD3B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75F4B76F" w14:textId="7F8A5B65" w:rsidR="000232C0" w:rsidRDefault="000232C0" w:rsidP="00AD3B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0232C0">
        <w:rPr>
          <w:rFonts w:ascii="Verdana" w:hAnsi="Verdana" w:cs="Arial"/>
          <w:sz w:val="18"/>
          <w:szCs w:val="18"/>
        </w:rPr>
        <w:t>Incluem-se, entre outras:</w:t>
      </w:r>
    </w:p>
    <w:p w14:paraId="79ADEDA4" w14:textId="20F699FD" w:rsidR="000232C0" w:rsidRPr="000232C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bookmarkStart w:id="7" w:name="_Toc207895401"/>
      <w:r w:rsidRPr="000232C0">
        <w:rPr>
          <w:rFonts w:ascii="Verdana" w:hAnsi="Verdana" w:cs="Arial"/>
          <w:sz w:val="18"/>
          <w:szCs w:val="18"/>
        </w:rPr>
        <w:lastRenderedPageBreak/>
        <w:t>Legislação ambiental do Estado de São Paulo;</w:t>
      </w:r>
    </w:p>
    <w:p w14:paraId="2082A0CB" w14:textId="153CBCFD" w:rsidR="000232C0" w:rsidRPr="000232C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232C0">
        <w:rPr>
          <w:rFonts w:ascii="Verdana" w:hAnsi="Verdana" w:cs="Arial"/>
          <w:sz w:val="18"/>
          <w:szCs w:val="18"/>
        </w:rPr>
        <w:t>Decisões de Diretoria CETESB que regulamentam unidades de valorização energética;</w:t>
      </w:r>
    </w:p>
    <w:p w14:paraId="0F09CB67" w14:textId="120642C8" w:rsidR="000232C0" w:rsidRPr="000232C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232C0">
        <w:rPr>
          <w:rFonts w:ascii="Verdana" w:hAnsi="Verdana" w:cs="Arial"/>
          <w:sz w:val="18"/>
          <w:szCs w:val="18"/>
        </w:rPr>
        <w:t>Normas técnicas e operacionais referentes a emissões, controle ambiental e licenciamento.</w:t>
      </w:r>
    </w:p>
    <w:p w14:paraId="5B7FF24F" w14:textId="3BAC8B0F" w:rsidR="00753AD8" w:rsidRPr="000232C0" w:rsidRDefault="00995269" w:rsidP="000232C0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r w:rsidRPr="000232C0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0232C0">
        <w:rPr>
          <w:rFonts w:ascii="Verdana" w:hAnsi="Verdana" w:cs="Calibri"/>
          <w:i w:val="0"/>
          <w:iCs w:val="0"/>
          <w:sz w:val="24"/>
          <w:szCs w:val="24"/>
        </w:rPr>
        <w:t xml:space="preserve">.3. </w:t>
      </w:r>
      <w:r w:rsidR="00753AD8" w:rsidRPr="000232C0">
        <w:rPr>
          <w:rFonts w:ascii="Verdana" w:hAnsi="Verdana" w:cs="Calibri"/>
          <w:i w:val="0"/>
          <w:iCs w:val="0"/>
          <w:sz w:val="24"/>
          <w:szCs w:val="24"/>
        </w:rPr>
        <w:t>DA</w:t>
      </w:r>
      <w:r w:rsidR="000232C0">
        <w:rPr>
          <w:rFonts w:ascii="Verdana" w:hAnsi="Verdana" w:cs="Calibri"/>
          <w:i w:val="0"/>
          <w:iCs w:val="0"/>
          <w:sz w:val="24"/>
          <w:szCs w:val="24"/>
        </w:rPr>
        <w:t>S</w:t>
      </w:r>
      <w:r w:rsidR="00753AD8" w:rsidRPr="000232C0">
        <w:rPr>
          <w:rFonts w:ascii="Verdana" w:hAnsi="Verdana" w:cs="Calibri"/>
          <w:i w:val="0"/>
          <w:iCs w:val="0"/>
          <w:sz w:val="24"/>
          <w:szCs w:val="24"/>
        </w:rPr>
        <w:t xml:space="preserve"> NORMA</w:t>
      </w:r>
      <w:r w:rsidR="000232C0">
        <w:rPr>
          <w:rFonts w:ascii="Verdana" w:hAnsi="Verdana" w:cs="Calibri"/>
          <w:i w:val="0"/>
          <w:iCs w:val="0"/>
          <w:sz w:val="24"/>
          <w:szCs w:val="24"/>
        </w:rPr>
        <w:t>S</w:t>
      </w:r>
      <w:r w:rsidR="00753AD8" w:rsidRPr="000232C0">
        <w:rPr>
          <w:rFonts w:ascii="Verdana" w:hAnsi="Verdana" w:cs="Calibri"/>
          <w:i w:val="0"/>
          <w:iCs w:val="0"/>
          <w:sz w:val="24"/>
          <w:szCs w:val="24"/>
        </w:rPr>
        <w:t xml:space="preserve"> MUNICIP</w:t>
      </w:r>
      <w:bookmarkEnd w:id="7"/>
      <w:r w:rsidR="000232C0">
        <w:rPr>
          <w:rFonts w:ascii="Verdana" w:hAnsi="Verdana" w:cs="Calibri"/>
          <w:i w:val="0"/>
          <w:iCs w:val="0"/>
          <w:sz w:val="24"/>
          <w:szCs w:val="24"/>
        </w:rPr>
        <w:t>AIS APLICÁVEIS</w:t>
      </w:r>
    </w:p>
    <w:p w14:paraId="7B8DADFD" w14:textId="77BDE5CA" w:rsidR="000232C0" w:rsidRPr="000232C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bookmarkStart w:id="8" w:name="_Toc207895402"/>
      <w:r w:rsidRPr="000232C0">
        <w:rPr>
          <w:rFonts w:ascii="Verdana" w:hAnsi="Verdana" w:cs="Arial"/>
          <w:sz w:val="18"/>
          <w:szCs w:val="18"/>
        </w:rPr>
        <w:t>Plano Municipal de Gestão Integrada de Resíduos Sólidos – PMGIRS, aprovado pela Lei 9.278/2025;</w:t>
      </w:r>
    </w:p>
    <w:p w14:paraId="0558AD50" w14:textId="3069A2FA" w:rsidR="000232C0" w:rsidRPr="000232C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232C0">
        <w:rPr>
          <w:rFonts w:ascii="Verdana" w:hAnsi="Verdana" w:cs="Arial"/>
          <w:sz w:val="18"/>
          <w:szCs w:val="18"/>
        </w:rPr>
        <w:t>Demais normas municipais relacionadas ao uso e ocupação do solo, limpeza urbana e gestão de resíduos;</w:t>
      </w:r>
    </w:p>
    <w:p w14:paraId="515FA957" w14:textId="7BB25594" w:rsidR="000232C0" w:rsidRPr="00F72760" w:rsidRDefault="000232C0" w:rsidP="000232C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0232C0">
        <w:rPr>
          <w:rFonts w:ascii="Verdana" w:hAnsi="Verdana" w:cs="Arial"/>
          <w:sz w:val="18"/>
          <w:szCs w:val="18"/>
        </w:rPr>
        <w:t>Regras ambientais municipais complementares.</w:t>
      </w:r>
    </w:p>
    <w:p w14:paraId="1575AA34" w14:textId="437C927A" w:rsidR="00AD3B56" w:rsidRPr="00F72760" w:rsidRDefault="00995269" w:rsidP="000232C0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r w:rsidRPr="00F72760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F72760">
        <w:rPr>
          <w:rFonts w:ascii="Verdana" w:hAnsi="Verdana" w:cs="Calibri"/>
          <w:i w:val="0"/>
          <w:iCs w:val="0"/>
          <w:sz w:val="24"/>
          <w:szCs w:val="24"/>
        </w:rPr>
        <w:t xml:space="preserve">.4. </w:t>
      </w:r>
      <w:r w:rsidR="00AD3B56" w:rsidRPr="00F72760">
        <w:rPr>
          <w:rFonts w:ascii="Verdana" w:hAnsi="Verdana" w:cs="Calibri"/>
          <w:i w:val="0"/>
          <w:iCs w:val="0"/>
          <w:sz w:val="24"/>
          <w:szCs w:val="24"/>
        </w:rPr>
        <w:t>DAS NORMAS TÉCNICAS AMBIENTAIS CORRELATAS</w:t>
      </w:r>
      <w:bookmarkEnd w:id="8"/>
    </w:p>
    <w:p w14:paraId="0EE105DA" w14:textId="77777777" w:rsidR="000232C0" w:rsidRDefault="000232C0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7884DD46" w14:textId="68B55093" w:rsidR="00AD3B56" w:rsidRPr="00FA5D1E" w:rsidRDefault="00AD3B56" w:rsidP="00F7276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CONAMA 316/2002;</w:t>
      </w:r>
    </w:p>
    <w:p w14:paraId="268FA6B5" w14:textId="77777777" w:rsidR="00AD3B56" w:rsidRPr="00FA5D1E" w:rsidRDefault="00AD3B56" w:rsidP="00F7276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CONAMA 382/2002;</w:t>
      </w:r>
    </w:p>
    <w:p w14:paraId="11BAB4A6" w14:textId="77777777" w:rsidR="00AD3B56" w:rsidRPr="00FA5D1E" w:rsidRDefault="00AD3B56" w:rsidP="00F7276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CONAMA 386/2002;</w:t>
      </w:r>
    </w:p>
    <w:p w14:paraId="2E0B75BA" w14:textId="51A61229" w:rsidR="00AD3B56" w:rsidRPr="00FA5D1E" w:rsidRDefault="00AD3B56" w:rsidP="00F7276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CONAMA 357/2005;</w:t>
      </w:r>
    </w:p>
    <w:p w14:paraId="21BA58E4" w14:textId="28BC6E27" w:rsidR="00AD3B56" w:rsidRPr="00FA5D1E" w:rsidRDefault="00AD3B56" w:rsidP="00F72760">
      <w:pPr>
        <w:numPr>
          <w:ilvl w:val="0"/>
          <w:numId w:val="50"/>
        </w:numPr>
        <w:tabs>
          <w:tab w:val="clear" w:pos="720"/>
        </w:tabs>
        <w:spacing w:before="24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CONAMA 396/2008</w:t>
      </w:r>
      <w:r w:rsidR="00CC7881" w:rsidRPr="00FA5D1E">
        <w:rPr>
          <w:rFonts w:ascii="Verdana" w:hAnsi="Verdana" w:cs="Arial"/>
          <w:sz w:val="18"/>
          <w:szCs w:val="18"/>
        </w:rPr>
        <w:t>.</w:t>
      </w:r>
    </w:p>
    <w:p w14:paraId="7740C65F" w14:textId="3806766A" w:rsidR="00753AD8" w:rsidRPr="00F72760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9" w:name="_Toc207895403"/>
      <w:r w:rsidRPr="00F72760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F72760">
        <w:rPr>
          <w:rFonts w:ascii="Verdana" w:hAnsi="Verdana" w:cs="Calibri"/>
          <w:i w:val="0"/>
          <w:iCs w:val="0"/>
          <w:sz w:val="24"/>
          <w:szCs w:val="24"/>
        </w:rPr>
        <w:t xml:space="preserve">.5. </w:t>
      </w:r>
      <w:r w:rsidR="00753AD8" w:rsidRPr="00F72760">
        <w:rPr>
          <w:rFonts w:ascii="Verdana" w:hAnsi="Verdana" w:cs="Calibri"/>
          <w:i w:val="0"/>
          <w:iCs w:val="0"/>
          <w:sz w:val="24"/>
          <w:szCs w:val="24"/>
        </w:rPr>
        <w:t xml:space="preserve">DOS NORMATIVOS PARA TRATAMENTO TÉRMICO </w:t>
      </w:r>
      <w:r w:rsidR="0044000B" w:rsidRPr="00F72760">
        <w:rPr>
          <w:rFonts w:ascii="Verdana" w:hAnsi="Verdana" w:cs="Calibri"/>
          <w:i w:val="0"/>
          <w:iCs w:val="0"/>
          <w:sz w:val="24"/>
          <w:szCs w:val="24"/>
        </w:rPr>
        <w:t>E/</w:t>
      </w:r>
      <w:r w:rsidR="00753AD8" w:rsidRPr="00F72760">
        <w:rPr>
          <w:rFonts w:ascii="Verdana" w:hAnsi="Verdana" w:cs="Calibri"/>
          <w:i w:val="0"/>
          <w:iCs w:val="0"/>
          <w:sz w:val="24"/>
          <w:szCs w:val="24"/>
        </w:rPr>
        <w:t>OU A BIODIGESTÃO</w:t>
      </w:r>
      <w:bookmarkEnd w:id="9"/>
    </w:p>
    <w:p w14:paraId="0328C89E" w14:textId="5CCAA179" w:rsidR="00BE2261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Existem normas e</w:t>
      </w:r>
      <w:r w:rsidR="0044000B" w:rsidRPr="00FA5D1E">
        <w:rPr>
          <w:rFonts w:ascii="Verdana" w:hAnsi="Verdana" w:cs="Arial"/>
          <w:sz w:val="18"/>
          <w:szCs w:val="18"/>
        </w:rPr>
        <w:t>spec</w:t>
      </w:r>
      <w:r w:rsidRPr="00FA5D1E">
        <w:rPr>
          <w:rFonts w:ascii="Verdana" w:hAnsi="Verdana" w:cs="Arial"/>
          <w:sz w:val="18"/>
          <w:szCs w:val="18"/>
        </w:rPr>
        <w:t>íficas para as tecnologias de tratamento térmico</w:t>
      </w:r>
      <w:r w:rsidR="0078167D" w:rsidRPr="00FA5D1E">
        <w:rPr>
          <w:rFonts w:ascii="Verdana" w:hAnsi="Verdana" w:cs="Arial"/>
          <w:sz w:val="18"/>
          <w:szCs w:val="18"/>
        </w:rPr>
        <w:t xml:space="preserve"> e</w:t>
      </w:r>
      <w:r w:rsidR="0044000B" w:rsidRPr="00FA5D1E">
        <w:rPr>
          <w:rFonts w:ascii="Verdana" w:hAnsi="Verdana" w:cs="Arial"/>
          <w:sz w:val="18"/>
          <w:szCs w:val="18"/>
        </w:rPr>
        <w:t>/ou a</w:t>
      </w:r>
      <w:r w:rsidR="0078167D" w:rsidRPr="00FA5D1E">
        <w:rPr>
          <w:rFonts w:ascii="Verdana" w:hAnsi="Verdana" w:cs="Arial"/>
          <w:sz w:val="18"/>
          <w:szCs w:val="18"/>
        </w:rPr>
        <w:t xml:space="preserve"> biodigestão</w:t>
      </w:r>
      <w:r w:rsidRPr="00FA5D1E">
        <w:rPr>
          <w:rFonts w:ascii="Verdana" w:hAnsi="Verdana" w:cs="Arial"/>
          <w:sz w:val="18"/>
          <w:szCs w:val="18"/>
        </w:rPr>
        <w:t>, bem como normas gerais referentes a efluentes líquidos, qualidade de corpos d’água, águas subterrâneas, efluentes atmosféricos, odores, qualidade do ar, resíduos sólidos e ruído ambiental.</w:t>
      </w:r>
    </w:p>
    <w:p w14:paraId="4EA51A2F" w14:textId="70D7ABDE" w:rsidR="00BE2261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Em situações em que a norma estadual for menos restritiva deve-se adotar a norma nacional, podendo o Órgão Ambiental competente, mediante decisão fundamentada, estabelecer padrões ainda mais restritivos e adotar inclusive legislação internacional.</w:t>
      </w:r>
    </w:p>
    <w:p w14:paraId="406A15AA" w14:textId="05EACB44" w:rsidR="0078167D" w:rsidRPr="00F72760" w:rsidRDefault="00995269" w:rsidP="003A4371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10" w:name="_Toc207895404"/>
      <w:r w:rsidRPr="00F72760">
        <w:rPr>
          <w:rFonts w:ascii="Verdana" w:hAnsi="Verdana"/>
          <w:sz w:val="24"/>
          <w:szCs w:val="24"/>
        </w:rPr>
        <w:lastRenderedPageBreak/>
        <w:t>1</w:t>
      </w:r>
      <w:r w:rsidR="00B96D53" w:rsidRPr="00F72760">
        <w:rPr>
          <w:rFonts w:ascii="Verdana" w:hAnsi="Verdana"/>
          <w:sz w:val="24"/>
          <w:szCs w:val="24"/>
        </w:rPr>
        <w:t xml:space="preserve">.5.1. </w:t>
      </w:r>
      <w:r w:rsidR="0078167D" w:rsidRPr="00F72760">
        <w:rPr>
          <w:rFonts w:ascii="Verdana" w:hAnsi="Verdana"/>
          <w:sz w:val="24"/>
          <w:szCs w:val="24"/>
        </w:rPr>
        <w:t>DA LEGISLAÇÃO GERAL E PROGRAMAS NACIONAIS</w:t>
      </w:r>
      <w:bookmarkEnd w:id="10"/>
    </w:p>
    <w:p w14:paraId="40CDF69F" w14:textId="77777777" w:rsidR="0078167D" w:rsidRPr="00FA5D1E" w:rsidRDefault="0078167D" w:rsidP="009C690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proofErr w:type="spellStart"/>
      <w:r w:rsidRPr="00FA5D1E">
        <w:rPr>
          <w:rFonts w:ascii="Verdana" w:hAnsi="Verdana" w:cs="Arial"/>
          <w:sz w:val="18"/>
          <w:szCs w:val="18"/>
        </w:rPr>
        <w:t>RenovaBio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(2016) -</w:t>
      </w:r>
      <w:r w:rsidRPr="00FA5D1E"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FA5D1E">
        <w:rPr>
          <w:rFonts w:ascii="Verdana" w:hAnsi="Verdana" w:cs="Arial"/>
          <w:sz w:val="18"/>
          <w:szCs w:val="18"/>
        </w:rPr>
        <w:t xml:space="preserve">Política nacional que estabelece metas de descarbonização por meio do uso de biocombustíveis. Inclui o incentivo à produção de bioeletricidade (como a gerada de bagaço de cana) e operaciona com a comercialização de </w:t>
      </w:r>
      <w:proofErr w:type="spellStart"/>
      <w:r w:rsidRPr="00FA5D1E">
        <w:rPr>
          <w:rFonts w:ascii="Verdana" w:hAnsi="Verdana" w:cs="Arial"/>
          <w:sz w:val="18"/>
          <w:szCs w:val="18"/>
        </w:rPr>
        <w:t>CBios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(Certificados de Descarbonização). Em 2022, a bioeletricidade gerada representou 72% da eletricidade proveniente de biomassa no país.</w:t>
      </w:r>
    </w:p>
    <w:p w14:paraId="387AFFC3" w14:textId="77777777" w:rsidR="0078167D" w:rsidRPr="00FA5D1E" w:rsidRDefault="0078167D" w:rsidP="009C690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Lei do Combustível do Futuro (Lei 14.993/2024)</w:t>
      </w:r>
      <w:r w:rsidRPr="00FA5D1E">
        <w:rPr>
          <w:rFonts w:ascii="Verdana" w:hAnsi="Verdana" w:cs="Arial"/>
          <w:b/>
          <w:bCs/>
          <w:sz w:val="18"/>
          <w:szCs w:val="18"/>
        </w:rPr>
        <w:t xml:space="preserve"> - </w:t>
      </w:r>
      <w:r w:rsidRPr="00FA5D1E">
        <w:rPr>
          <w:rFonts w:ascii="Verdana" w:hAnsi="Verdana" w:cs="Arial"/>
          <w:sz w:val="18"/>
          <w:szCs w:val="18"/>
        </w:rPr>
        <w:t>Estabelece um marco legal para ampliação dos biocombustíveis e criação de programas como o Diesel Verde e o Bioquerosene de Aviação. Inclui estímulos à produção de biometano e captura de carbono — relevante para biodigestão (biogás) e seus usos finais.</w:t>
      </w:r>
    </w:p>
    <w:p w14:paraId="61B2B90D" w14:textId="77777777" w:rsidR="0078167D" w:rsidRPr="00FA5D1E" w:rsidRDefault="0078167D" w:rsidP="009C690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Lei nº 14.300/2022 e Resolução Normativa ANEEL nº 1.059/2023 - Cria o marco legal para micro e minigeração distribuída de energia (incluindo biogás), com um sistema de compensação energética e incentivo ao uso renovável social.</w:t>
      </w:r>
    </w:p>
    <w:p w14:paraId="20720011" w14:textId="77777777" w:rsidR="0078167D" w:rsidRPr="00FA5D1E" w:rsidRDefault="0078167D" w:rsidP="009C690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Portarias do Ministério de Minas e Energia (2015/2020) - A Portaria 44/2015 (revogada em 2020) inicialmente incentivou a geração própria por consumidores com base em fontes como biogás. A Portaria 538/2015 instituiu o Programa de Desenvolvimento da Geração Distribuída de Energia Elétrica a partir de biogás.</w:t>
      </w:r>
    </w:p>
    <w:p w14:paraId="50794592" w14:textId="77777777" w:rsidR="0078167D" w:rsidRPr="00FA5D1E" w:rsidRDefault="0078167D" w:rsidP="009C690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Lei nº 12.114/2009 (Decreto nº 9.578/2018)</w:t>
      </w:r>
      <w:r w:rsidRPr="00FA5D1E">
        <w:rPr>
          <w:rFonts w:ascii="Verdana" w:hAnsi="Verdana" w:cs="Arial"/>
          <w:b/>
          <w:bCs/>
          <w:sz w:val="18"/>
          <w:szCs w:val="18"/>
        </w:rPr>
        <w:t xml:space="preserve"> - </w:t>
      </w:r>
      <w:r w:rsidRPr="00FA5D1E">
        <w:rPr>
          <w:rFonts w:ascii="Verdana" w:hAnsi="Verdana" w:cs="Arial"/>
          <w:sz w:val="18"/>
          <w:szCs w:val="18"/>
        </w:rPr>
        <w:t>Regula o apoio às cadeias produtivas sustentáveis, priorizando a coleta eficiente de biogás e seu uso energético em aterros sanitários e estações de tratamento de efluentes.</w:t>
      </w:r>
    </w:p>
    <w:p w14:paraId="51597F5B" w14:textId="3E1E5B1A" w:rsidR="0078167D" w:rsidRPr="00F72760" w:rsidRDefault="00995269" w:rsidP="003A4371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1" w:name="_Toc207895405"/>
      <w:r w:rsidRPr="00F72760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F72760">
        <w:rPr>
          <w:rFonts w:ascii="Verdana" w:hAnsi="Verdana" w:cs="Calibri"/>
          <w:i w:val="0"/>
          <w:iCs w:val="0"/>
          <w:sz w:val="24"/>
          <w:szCs w:val="24"/>
        </w:rPr>
        <w:t xml:space="preserve">.6. </w:t>
      </w:r>
      <w:r w:rsidR="0078167D" w:rsidRPr="00F72760">
        <w:rPr>
          <w:rFonts w:ascii="Verdana" w:hAnsi="Verdana" w:cs="Calibri"/>
          <w:i w:val="0"/>
          <w:iCs w:val="0"/>
          <w:sz w:val="24"/>
          <w:szCs w:val="24"/>
        </w:rPr>
        <w:t>DO BIOGÁS E BIOMETANO</w:t>
      </w:r>
      <w:bookmarkEnd w:id="11"/>
    </w:p>
    <w:p w14:paraId="7177B1E1" w14:textId="77777777" w:rsidR="0078167D" w:rsidRPr="00FA5D1E" w:rsidRDefault="0078167D" w:rsidP="00F7276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Resoluções da ANP (Agência Nacional de Petróleo, Gás Natural e Biocombustíveis)</w:t>
      </w:r>
    </w:p>
    <w:p w14:paraId="17EFED31" w14:textId="77777777" w:rsidR="0078167D" w:rsidRPr="00FA5D1E" w:rsidRDefault="0078167D" w:rsidP="00F7276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ANP nº 8 (antiga) — introduziu conceitos e regulamentou o biometano para uso veicular, residencial e industrial.</w:t>
      </w:r>
    </w:p>
    <w:p w14:paraId="6A6B2C5E" w14:textId="77777777" w:rsidR="0078167D" w:rsidRPr="00FA5D1E" w:rsidRDefault="0078167D" w:rsidP="00F72760">
      <w:pPr>
        <w:numPr>
          <w:ilvl w:val="0"/>
          <w:numId w:val="24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Resolução nº 685/2017 — estabelecia padrões de qualidade, posteriormente revogada. Hoje, a Resolução ANP nº 886/2022 cumpre essa função.</w:t>
      </w:r>
    </w:p>
    <w:p w14:paraId="2C91FB80" w14:textId="72D100BB" w:rsidR="0078167D" w:rsidRPr="00F72760" w:rsidRDefault="00995269" w:rsidP="00F72760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12" w:name="_Toc207895406"/>
      <w:r w:rsidRPr="00F72760">
        <w:rPr>
          <w:rFonts w:ascii="Verdana" w:hAnsi="Verdana"/>
          <w:sz w:val="24"/>
          <w:szCs w:val="24"/>
        </w:rPr>
        <w:t>1</w:t>
      </w:r>
      <w:r w:rsidR="00B96D53" w:rsidRPr="00F72760">
        <w:rPr>
          <w:rFonts w:ascii="Verdana" w:hAnsi="Verdana"/>
          <w:sz w:val="24"/>
          <w:szCs w:val="24"/>
        </w:rPr>
        <w:t xml:space="preserve">.6.1. </w:t>
      </w:r>
      <w:r w:rsidR="0078167D" w:rsidRPr="00F72760">
        <w:rPr>
          <w:rFonts w:ascii="Verdana" w:hAnsi="Verdana"/>
          <w:sz w:val="24"/>
          <w:szCs w:val="24"/>
        </w:rPr>
        <w:t>DAS LEIS ESTADUAIS DE INCENTIVO AO BIOGÁS E BIOMETANO</w:t>
      </w:r>
      <w:bookmarkEnd w:id="12"/>
    </w:p>
    <w:p w14:paraId="776A1FCF" w14:textId="77777777" w:rsidR="0078167D" w:rsidRPr="00FA5D1E" w:rsidRDefault="0078167D" w:rsidP="003A4371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São Paulo: Decreto nº 58.659/2012 criou o Comitê Gestor do Programa Paulista de Biogás.</w:t>
      </w:r>
    </w:p>
    <w:p w14:paraId="3D533EE3" w14:textId="77777777" w:rsidR="0078167D" w:rsidRPr="00FA5D1E" w:rsidRDefault="0078167D" w:rsidP="009C6900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Mapa Regulatório da </w:t>
      </w:r>
      <w:proofErr w:type="spellStart"/>
      <w:r w:rsidRPr="00FA5D1E">
        <w:rPr>
          <w:rFonts w:ascii="Verdana" w:hAnsi="Verdana" w:cs="Arial"/>
          <w:sz w:val="18"/>
          <w:szCs w:val="18"/>
        </w:rPr>
        <w:t>Abiogás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(2024) – A Associação Brasileira de Biogás e Biometano (</w:t>
      </w:r>
      <w:proofErr w:type="spellStart"/>
      <w:r w:rsidRPr="00FA5D1E">
        <w:rPr>
          <w:rFonts w:ascii="Verdana" w:hAnsi="Verdana" w:cs="Arial"/>
          <w:sz w:val="18"/>
          <w:szCs w:val="18"/>
        </w:rPr>
        <w:t>Abiogás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) lançou uma ferramenta online que reúne legislações federais e estaduais, além de normativas da ANEEL e da ANP, facilitando o acesso ao marco regulatório para o setor. </w:t>
      </w:r>
    </w:p>
    <w:p w14:paraId="3DA05984" w14:textId="17364DAA" w:rsidR="0078167D" w:rsidRPr="00FA5D1E" w:rsidRDefault="00D71738" w:rsidP="003A4371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GASEIFICAÇÃO/PIRÓLISE</w:t>
      </w:r>
      <w:r w:rsidR="0078167D" w:rsidRPr="00FA5D1E">
        <w:rPr>
          <w:rFonts w:ascii="Verdana" w:hAnsi="Verdana" w:cs="Arial"/>
          <w:sz w:val="18"/>
          <w:szCs w:val="18"/>
        </w:rPr>
        <w:t xml:space="preserve"> — Cenário Legal Indireto</w:t>
      </w:r>
    </w:p>
    <w:p w14:paraId="4B96E8A1" w14:textId="65F27F68" w:rsidR="0078167D" w:rsidRPr="00FA5D1E" w:rsidRDefault="0078167D" w:rsidP="003A4371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Embora não haja legislação e</w:t>
      </w:r>
      <w:r w:rsidR="0044000B" w:rsidRPr="00FA5D1E">
        <w:rPr>
          <w:rFonts w:ascii="Verdana" w:hAnsi="Verdana" w:cs="Arial"/>
          <w:sz w:val="18"/>
          <w:szCs w:val="18"/>
        </w:rPr>
        <w:t>spec</w:t>
      </w:r>
      <w:r w:rsidRPr="00FA5D1E">
        <w:rPr>
          <w:rFonts w:ascii="Verdana" w:hAnsi="Verdana" w:cs="Arial"/>
          <w:sz w:val="18"/>
          <w:szCs w:val="18"/>
        </w:rPr>
        <w:t xml:space="preserve">ífica com foco exclusivo em </w:t>
      </w:r>
      <w:r w:rsidR="00D71738" w:rsidRPr="00FA5D1E">
        <w:rPr>
          <w:rFonts w:ascii="Verdana" w:hAnsi="Verdana" w:cs="Arial"/>
          <w:sz w:val="18"/>
          <w:szCs w:val="18"/>
        </w:rPr>
        <w:t>GASEIFICAÇÃO/PIRÓLISE</w:t>
      </w:r>
      <w:r w:rsidRPr="00FA5D1E">
        <w:rPr>
          <w:rFonts w:ascii="Verdana" w:hAnsi="Verdana" w:cs="Arial"/>
          <w:sz w:val="18"/>
          <w:szCs w:val="18"/>
        </w:rPr>
        <w:t>, esse processo é parte do e</w:t>
      </w:r>
      <w:r w:rsidR="0044000B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>ctro de conversão de biomassa mencionada em várias políticas, como:</w:t>
      </w:r>
    </w:p>
    <w:p w14:paraId="776753DC" w14:textId="048E27BC" w:rsidR="0078167D" w:rsidRPr="00FA5D1E" w:rsidRDefault="0078167D" w:rsidP="003A4371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proofErr w:type="spellStart"/>
      <w:r w:rsidRPr="00FA5D1E">
        <w:rPr>
          <w:rFonts w:ascii="Verdana" w:hAnsi="Verdana" w:cs="Arial"/>
          <w:sz w:val="18"/>
          <w:szCs w:val="18"/>
        </w:rPr>
        <w:lastRenderedPageBreak/>
        <w:t>RenovaBio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, que abrange bioeletricidade, possivelmente incluindo a proveniente de </w:t>
      </w:r>
      <w:r w:rsidR="00D71738" w:rsidRPr="00FA5D1E">
        <w:rPr>
          <w:rFonts w:ascii="Verdana" w:hAnsi="Verdana" w:cs="Arial"/>
          <w:sz w:val="18"/>
          <w:szCs w:val="18"/>
        </w:rPr>
        <w:t>GASEIFICAÇÃO/PIRÓLISE</w:t>
      </w:r>
      <w:r w:rsidRPr="00FA5D1E">
        <w:rPr>
          <w:rFonts w:ascii="Verdana" w:hAnsi="Verdana" w:cs="Arial"/>
          <w:sz w:val="18"/>
          <w:szCs w:val="18"/>
        </w:rPr>
        <w:t>;</w:t>
      </w:r>
    </w:p>
    <w:p w14:paraId="520903ED" w14:textId="29937EF5" w:rsidR="0078167D" w:rsidRPr="00FA5D1E" w:rsidRDefault="0078167D" w:rsidP="003A4371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O PL do Hidrogênio Verde (PL 2.308/2023), que utiliza o conceito de produção de hidrogênio via </w:t>
      </w:r>
      <w:r w:rsidR="00D71738" w:rsidRPr="00FA5D1E">
        <w:rPr>
          <w:rFonts w:ascii="Verdana" w:hAnsi="Verdana" w:cs="Arial"/>
          <w:sz w:val="18"/>
          <w:szCs w:val="18"/>
        </w:rPr>
        <w:t>GASEIFICAÇÃO/PIRÓLISE</w:t>
      </w:r>
      <w:r w:rsidRPr="00FA5D1E">
        <w:rPr>
          <w:rFonts w:ascii="Verdana" w:hAnsi="Verdana" w:cs="Arial"/>
          <w:sz w:val="18"/>
          <w:szCs w:val="18"/>
        </w:rPr>
        <w:t xml:space="preserve"> de biomassa, considerando-a como parte das rotas tecnológicas reconhecidas.</w:t>
      </w:r>
    </w:p>
    <w:p w14:paraId="2EEA58AC" w14:textId="01864F05" w:rsidR="00BE2261" w:rsidRPr="00F72760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3" w:name="_Toc207895407"/>
      <w:r w:rsidRPr="00F72760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F72760">
        <w:rPr>
          <w:rFonts w:ascii="Verdana" w:hAnsi="Verdana" w:cs="Calibri"/>
          <w:i w:val="0"/>
          <w:iCs w:val="0"/>
          <w:sz w:val="24"/>
          <w:szCs w:val="24"/>
        </w:rPr>
        <w:t xml:space="preserve">.7. </w:t>
      </w:r>
      <w:r w:rsidR="0078167D" w:rsidRPr="00F72760">
        <w:rPr>
          <w:rFonts w:ascii="Verdana" w:hAnsi="Verdana" w:cs="Calibri"/>
          <w:i w:val="0"/>
          <w:iCs w:val="0"/>
          <w:sz w:val="24"/>
          <w:szCs w:val="24"/>
        </w:rPr>
        <w:t>DO TRATAMENTO TÉRMICO DE RESÍDUOS</w:t>
      </w:r>
      <w:bookmarkEnd w:id="13"/>
    </w:p>
    <w:p w14:paraId="6F5896AC" w14:textId="77777777" w:rsidR="00BE2261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No Brasil, os procedimentos e critérios para o funcionamento de sistemas de tratamento térmico de resíduos, cuja operação seja realizada acima da temperatura mínima de 800º C, são regulamentados pela Resolução CONAMA n. 316/2002.</w:t>
      </w:r>
    </w:p>
    <w:p w14:paraId="34993CAC" w14:textId="77777777" w:rsidR="00025E88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Em Minas Gerais, os Termos de Referência para a regularização ambiental de “Sistema de Tratamento Térmico de Resíduos Sólidos Urbanos com Geração de Energia Elétrica” adotam os critérios e os padrões de emissão de efluentes atmosféricos da União Europeia, previstos na Diretiva 2000/76/CE, por serem mais restritivos e por atenderem às condições mínimas das instalações de tratamento térmico previstas na Resolução CONAMA n. 316/2002.</w:t>
      </w:r>
    </w:p>
    <w:p w14:paraId="75B95372" w14:textId="35011F09" w:rsidR="00BE2261" w:rsidRPr="00DC7D9F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4" w:name="_Toc207895408"/>
      <w:r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.8. </w:t>
      </w:r>
      <w:r w:rsidR="0078167D" w:rsidRPr="00DC7D9F">
        <w:rPr>
          <w:rFonts w:ascii="Verdana" w:hAnsi="Verdana" w:cs="Calibri"/>
          <w:i w:val="0"/>
          <w:iCs w:val="0"/>
          <w:sz w:val="24"/>
          <w:szCs w:val="24"/>
        </w:rPr>
        <w:t>DOS EFLUENTES LÍQUIDOS E ENQUADRAMENTO DE CORPOS D’ÁGUA</w:t>
      </w:r>
      <w:bookmarkEnd w:id="14"/>
    </w:p>
    <w:p w14:paraId="61C328C2" w14:textId="77777777" w:rsidR="00BE2261" w:rsidRPr="00FA5D1E" w:rsidRDefault="00BE2261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Os padrões de lançamento de efluentes líquidos e de enquadramento da qualidade de corpos d’água estão contemplados na Resolução CONAMA n. 357/2005 (com alterações pela Resolução CONAMA n. 397/2008.</w:t>
      </w:r>
    </w:p>
    <w:p w14:paraId="16FF8D7F" w14:textId="77777777" w:rsidR="00BE2261" w:rsidRPr="00FA5D1E" w:rsidRDefault="00BE2261" w:rsidP="00E363F1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Cabe destacar da Resolução CONAMA n. 357/2005:</w:t>
      </w:r>
    </w:p>
    <w:p w14:paraId="64E3EDA4" w14:textId="77777777" w:rsidR="00BE2261" w:rsidRPr="00FA5D1E" w:rsidRDefault="00BE2261" w:rsidP="00E363F1">
      <w:pPr>
        <w:numPr>
          <w:ilvl w:val="0"/>
          <w:numId w:val="2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É vedado, nos efluentes, o lançamento dos Poluentes Orgânicos Persistentes (</w:t>
      </w:r>
      <w:proofErr w:type="spellStart"/>
      <w:r w:rsidRPr="00FA5D1E">
        <w:rPr>
          <w:rFonts w:ascii="Verdana" w:hAnsi="Verdana" w:cs="Arial"/>
          <w:sz w:val="18"/>
          <w:szCs w:val="18"/>
        </w:rPr>
        <w:t>POPs</w:t>
      </w:r>
      <w:proofErr w:type="spellEnd"/>
      <w:r w:rsidRPr="00FA5D1E">
        <w:rPr>
          <w:rFonts w:ascii="Verdana" w:hAnsi="Verdana" w:cs="Arial"/>
          <w:sz w:val="18"/>
          <w:szCs w:val="18"/>
        </w:rPr>
        <w:t>) mencionados na Convenção de Estocolmo. Nos processos onde possa ocorrer a formação de dioxinas e furanos deverá ser utilizada a melhor tecnologia disponível para a sua redução, até a completa eliminação;</w:t>
      </w:r>
    </w:p>
    <w:p w14:paraId="1720A8BD" w14:textId="77777777" w:rsidR="00BE2261" w:rsidRPr="00FA5D1E" w:rsidRDefault="00BE2261" w:rsidP="00E363F1">
      <w:pPr>
        <w:numPr>
          <w:ilvl w:val="0"/>
          <w:numId w:val="2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disposição de efluentes no solo, mesmo tratados, não poderá causar poluição ou contaminação das águas;</w:t>
      </w:r>
    </w:p>
    <w:p w14:paraId="5AF60D4F" w14:textId="77777777" w:rsidR="00BE2261" w:rsidRPr="00FA5D1E" w:rsidRDefault="00BE2261" w:rsidP="00E363F1">
      <w:pPr>
        <w:numPr>
          <w:ilvl w:val="0"/>
          <w:numId w:val="2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Na hipótese de fonte de poluição geradora de diferentes efluentes ou lançamentos individualizados, os limites constantes nestas normas aplicar-se-ão a cada um deles ou ao conjunto após a mistura, a critério do Órgão Ambiental competente;</w:t>
      </w:r>
    </w:p>
    <w:p w14:paraId="2C6987D0" w14:textId="77777777" w:rsidR="00BE2261" w:rsidRPr="00FA5D1E" w:rsidRDefault="00BE2261" w:rsidP="00E363F1">
      <w:pPr>
        <w:numPr>
          <w:ilvl w:val="0"/>
          <w:numId w:val="2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Não se deve efetuar, em circunstância alguma, a diluição de águas residuais para efeito de observância dos valores-limite de lançamento.</w:t>
      </w:r>
    </w:p>
    <w:p w14:paraId="678BF08E" w14:textId="77777777" w:rsidR="00BE2261" w:rsidRPr="00FA5D1E" w:rsidRDefault="00BE2261" w:rsidP="00E363F1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c) Águas subterrâneas</w:t>
      </w:r>
    </w:p>
    <w:p w14:paraId="7E98680D" w14:textId="77777777" w:rsidR="00BE2261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Resolução CONAMA n. 396/2008 dispõe sobre a classificação e diretrizes ambientais para o enquadramento das águas dos aquíferos.</w:t>
      </w:r>
    </w:p>
    <w:p w14:paraId="37DCAD37" w14:textId="5CBDA75C" w:rsidR="00BE2261" w:rsidRPr="00FA5D1E" w:rsidRDefault="00BE2261" w:rsidP="00F72760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Não admitindo a alteração de sua qualidade por atividades antrópicas, os aquíferos, conjunto de aquíferos ou porção desses, podem ser enquadrados como e</w:t>
      </w:r>
      <w:r w:rsidR="0044000B" w:rsidRPr="00FA5D1E">
        <w:rPr>
          <w:rFonts w:ascii="Verdana" w:hAnsi="Verdana" w:cs="Arial"/>
          <w:sz w:val="18"/>
          <w:szCs w:val="18"/>
        </w:rPr>
        <w:t>special</w:t>
      </w:r>
      <w:r w:rsidRPr="00FA5D1E">
        <w:rPr>
          <w:rFonts w:ascii="Verdana" w:hAnsi="Verdana" w:cs="Arial"/>
          <w:sz w:val="18"/>
          <w:szCs w:val="18"/>
        </w:rPr>
        <w:t xml:space="preserve"> ― destinados à </w:t>
      </w:r>
      <w:r w:rsidRPr="00FA5D1E">
        <w:rPr>
          <w:rFonts w:ascii="Verdana" w:hAnsi="Verdana" w:cs="Arial"/>
          <w:sz w:val="18"/>
          <w:szCs w:val="18"/>
        </w:rPr>
        <w:lastRenderedPageBreak/>
        <w:t>preservação de ecossistemas em unidade de conservação de proteção integral e as que contribuam diretamente para os trechos de corpos d’água superficiais enquadrados como classe e</w:t>
      </w:r>
      <w:r w:rsidR="00E363F1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 xml:space="preserve">cial ― ou nas classes 1 e 2, dependendo da necessidade de tratamento devido suas características </w:t>
      </w:r>
      <w:proofErr w:type="spellStart"/>
      <w:r w:rsidRPr="00FA5D1E">
        <w:rPr>
          <w:rFonts w:ascii="Verdana" w:hAnsi="Verdana" w:cs="Arial"/>
          <w:sz w:val="18"/>
          <w:szCs w:val="18"/>
        </w:rPr>
        <w:t>hidrogeoquímicas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naturais. </w:t>
      </w:r>
    </w:p>
    <w:p w14:paraId="6BA197F6" w14:textId="1EEBB233" w:rsidR="00BE2261" w:rsidRPr="00DC7D9F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5" w:name="_Toc207895409"/>
      <w:r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.9. </w:t>
      </w:r>
      <w:r w:rsidR="0078167D" w:rsidRPr="00DC7D9F">
        <w:rPr>
          <w:rFonts w:ascii="Verdana" w:hAnsi="Verdana" w:cs="Calibri"/>
          <w:i w:val="0"/>
          <w:iCs w:val="0"/>
          <w:sz w:val="24"/>
          <w:szCs w:val="24"/>
        </w:rPr>
        <w:t>DOS EFLUENTES ATMOSFÉRICOS</w:t>
      </w:r>
      <w:bookmarkEnd w:id="15"/>
    </w:p>
    <w:p w14:paraId="314FB520" w14:textId="77777777" w:rsidR="00BE2261" w:rsidRPr="00FA5D1E" w:rsidRDefault="00BE2261" w:rsidP="0078167D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Os limites máximos de emissão de poluentes atmosféricos para fontes fixas estão estabelecidos na Resolução CONAMA n. 386/2002, por poluente e tipologias de fontes.</w:t>
      </w:r>
    </w:p>
    <w:p w14:paraId="59E450BC" w14:textId="77777777" w:rsidR="00BE2261" w:rsidRPr="00FA5D1E" w:rsidRDefault="00BE2261" w:rsidP="00E363F1">
      <w:pPr>
        <w:numPr>
          <w:ilvl w:val="0"/>
          <w:numId w:val="3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Fonte fixa de emissão: Qualquer instalação, equipamento ou processo, situado em local fixo, que libere ou emita matéria sólida, líquida ou gasosa para a atmosfera, por emissão pontual ou fugitiva.</w:t>
      </w:r>
    </w:p>
    <w:p w14:paraId="26FA1A69" w14:textId="77777777" w:rsidR="00BE2261" w:rsidRPr="00FA5D1E" w:rsidRDefault="00BE2261" w:rsidP="00E363F1">
      <w:pPr>
        <w:numPr>
          <w:ilvl w:val="0"/>
          <w:numId w:val="3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Emissão fugitiva: Lançamento difuso na atmosfera efetuado por uma fonte desprovida de dispositivo projetado para dirigir ou controlar seu fluxo.</w:t>
      </w:r>
    </w:p>
    <w:p w14:paraId="63D3E703" w14:textId="77777777" w:rsidR="00BE2261" w:rsidRPr="00FA5D1E" w:rsidRDefault="00BE2261" w:rsidP="00E363F1">
      <w:pPr>
        <w:numPr>
          <w:ilvl w:val="0"/>
          <w:numId w:val="3"/>
        </w:numPr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Emissão pontual: Fonte provida de dispositivo para dirigir ou controlar seu fluxo, como dutos e chaminés.</w:t>
      </w:r>
    </w:p>
    <w:p w14:paraId="5352591F" w14:textId="77777777" w:rsidR="00BE2261" w:rsidRPr="00FA5D1E" w:rsidRDefault="00BE2261" w:rsidP="00E363F1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Há padrões de emissão estabelecidos para:</w:t>
      </w:r>
    </w:p>
    <w:p w14:paraId="1931DDD8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Combustão externa (como caldeiras e fornos): óleos combustíveis (MP, </w:t>
      </w:r>
      <w:proofErr w:type="spellStart"/>
      <w:r w:rsidRPr="00FA5D1E">
        <w:rPr>
          <w:rFonts w:ascii="Verdana" w:hAnsi="Verdana" w:cs="Arial"/>
          <w:sz w:val="18"/>
          <w:szCs w:val="18"/>
        </w:rPr>
        <w:t>NOx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e </w:t>
      </w:r>
      <w:proofErr w:type="spellStart"/>
      <w:r w:rsidRPr="00FA5D1E">
        <w:rPr>
          <w:rFonts w:ascii="Verdana" w:hAnsi="Verdana" w:cs="Arial"/>
          <w:sz w:val="18"/>
          <w:szCs w:val="18"/>
        </w:rPr>
        <w:t>SOx</w:t>
      </w:r>
      <w:proofErr w:type="spellEnd"/>
      <w:r w:rsidRPr="00FA5D1E">
        <w:rPr>
          <w:rFonts w:ascii="Verdana" w:hAnsi="Verdana" w:cs="Arial"/>
          <w:sz w:val="18"/>
          <w:szCs w:val="18"/>
        </w:rPr>
        <w:t>), gás natural (</w:t>
      </w:r>
      <w:proofErr w:type="spellStart"/>
      <w:r w:rsidRPr="00FA5D1E">
        <w:rPr>
          <w:rFonts w:ascii="Verdana" w:hAnsi="Verdana" w:cs="Arial"/>
          <w:sz w:val="18"/>
          <w:szCs w:val="18"/>
        </w:rPr>
        <w:t>NOx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) e derivados de madeira (MP, </w:t>
      </w:r>
      <w:proofErr w:type="spellStart"/>
      <w:r w:rsidRPr="00FA5D1E">
        <w:rPr>
          <w:rFonts w:ascii="Verdana" w:hAnsi="Verdana" w:cs="Arial"/>
          <w:sz w:val="18"/>
          <w:szCs w:val="18"/>
        </w:rPr>
        <w:t>NOx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e CO);</w:t>
      </w:r>
    </w:p>
    <w:p w14:paraId="29186A4E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Combustão interna em turbinas a gás: gás natural (</w:t>
      </w:r>
      <w:proofErr w:type="spellStart"/>
      <w:r w:rsidRPr="00FA5D1E">
        <w:rPr>
          <w:rFonts w:ascii="Verdana" w:hAnsi="Verdana" w:cs="Arial"/>
          <w:sz w:val="18"/>
          <w:szCs w:val="18"/>
        </w:rPr>
        <w:t>NOx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, CO, </w:t>
      </w:r>
      <w:proofErr w:type="spellStart"/>
      <w:r w:rsidRPr="00FA5D1E">
        <w:rPr>
          <w:rFonts w:ascii="Verdana" w:hAnsi="Verdana" w:cs="Arial"/>
          <w:sz w:val="18"/>
          <w:szCs w:val="18"/>
        </w:rPr>
        <w:t>SOx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e MP).</w:t>
      </w:r>
    </w:p>
    <w:p w14:paraId="28B30D13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Para os motores de combustão interna ou turbinas a gás utilizando biogás, pode-se adotar, por similaridade ao gás natural, os padrões de emissão para turbinas a gás estabelecidos na Resolução CONAMA n. 382/2006.</w:t>
      </w:r>
    </w:p>
    <w:p w14:paraId="1C464BE5" w14:textId="0DEB52AF" w:rsidR="00BE2261" w:rsidRPr="00DC7D9F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6" w:name="_Toc207895410"/>
      <w:r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.10. </w:t>
      </w:r>
      <w:r w:rsidR="0078167D" w:rsidRPr="00DC7D9F">
        <w:rPr>
          <w:rFonts w:ascii="Verdana" w:hAnsi="Verdana" w:cs="Calibri"/>
          <w:i w:val="0"/>
          <w:iCs w:val="0"/>
          <w:sz w:val="24"/>
          <w:szCs w:val="24"/>
        </w:rPr>
        <w:t>DA QUALIDADE DO AR</w:t>
      </w:r>
      <w:bookmarkEnd w:id="16"/>
    </w:p>
    <w:p w14:paraId="4FDA62FD" w14:textId="77777777" w:rsidR="00BE2261" w:rsidRPr="00FA5D1E" w:rsidRDefault="00BE2261" w:rsidP="00DC7D9F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Conforme Resolução CONAMA n. 005/1989, a estratégia básica do Programa Nacional de Controle da Qualidade do Ar - PRONAR é limitar, em nível nacional, as emissões por tipologia de fontes e poluentes prioritários, reservando o uso dos padrões de qualidade do ar como ação complementar de controle. Para a implementação de uma política de não deterioração significativa da qualidade do ar em todo o território nacional, suas áreas serão enquadradas de acordo com a seguinte classificação de usos pretendidos:</w:t>
      </w:r>
    </w:p>
    <w:p w14:paraId="081452BD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Classe I: Áreas de preservação, lazer e turismo, tais como Parques Nacionais e Estaduais, Reservas e Estações Ecológicas, Estâncias Hidrominerais e Hidrotermais. Nestas áreas deverá ser mantida a qualidade do ar em nível o mais próximo possível do verificado sem a intervenção antropogênica.</w:t>
      </w:r>
    </w:p>
    <w:p w14:paraId="0EB6D370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Classe II: Áreas onde o nível de deterioração da qualidade do ar seja limitado pelo padrão secundário de qualidade.</w:t>
      </w:r>
    </w:p>
    <w:p w14:paraId="16DA1AB3" w14:textId="77777777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Classe III: Áreas de desenvolvimento onde o nível de deterioração da qualidade do ar seja limitado pelo padrão primário de qualidade.</w:t>
      </w:r>
    </w:p>
    <w:p w14:paraId="483F028B" w14:textId="78A8C41E" w:rsidR="00BE2261" w:rsidRPr="00FA5D1E" w:rsidRDefault="00BE2261" w:rsidP="00FA5D1E">
      <w:pPr>
        <w:numPr>
          <w:ilvl w:val="0"/>
          <w:numId w:val="25"/>
        </w:numPr>
        <w:tabs>
          <w:tab w:val="clear" w:pos="720"/>
          <w:tab w:val="num" w:pos="426"/>
        </w:tabs>
        <w:spacing w:line="360" w:lineRule="auto"/>
        <w:ind w:left="0" w:right="-709" w:firstLine="0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Resolução CONAMA n. 008/1990, por sua vez, estabelece que cabe aos órgãos estaduais de meio ambiente propor aos governos de seus re</w:t>
      </w:r>
      <w:r w:rsidR="004874AB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 xml:space="preserve">ctivos estados o enquadramento de suas áreas Classe I e III, conforme já previsto na Resolução CONAMA n. 005/1989 e Resolução CONAMA n. 003/1990. As </w:t>
      </w:r>
      <w:r w:rsidRPr="00FA5D1E">
        <w:rPr>
          <w:rFonts w:ascii="Verdana" w:hAnsi="Verdana" w:cs="Arial"/>
          <w:sz w:val="18"/>
          <w:szCs w:val="18"/>
        </w:rPr>
        <w:lastRenderedPageBreak/>
        <w:t>demais áreas não definidas como Classes I e III são consideradas Classe II, conforme Resolução CONAMA n. 005/1989.</w:t>
      </w:r>
    </w:p>
    <w:p w14:paraId="32D75482" w14:textId="19B37C9C" w:rsidR="00BE2261" w:rsidRPr="00DC7D9F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7" w:name="_Toc207895411"/>
      <w:r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.11. </w:t>
      </w:r>
      <w:r w:rsidR="0078167D" w:rsidRPr="00DC7D9F">
        <w:rPr>
          <w:rFonts w:ascii="Verdana" w:hAnsi="Verdana" w:cs="Calibri"/>
          <w:i w:val="0"/>
          <w:iCs w:val="0"/>
          <w:sz w:val="24"/>
          <w:szCs w:val="24"/>
        </w:rPr>
        <w:t>DOS RESÍDUOS SÓLIDOS</w:t>
      </w:r>
      <w:r w:rsidR="00753AD8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 DOMÉSTICOS</w:t>
      </w:r>
      <w:bookmarkEnd w:id="17"/>
    </w:p>
    <w:p w14:paraId="09D1D94B" w14:textId="77777777" w:rsidR="00BE2261" w:rsidRPr="00FA5D1E" w:rsidRDefault="00BE2261" w:rsidP="00DC7D9F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Baseado na LEI Nº 12.300, DE 16 DE MARÇO DE 2006, onde o Estado de São Paulo institui a Política Estadual de Resíduos Sólidos onde o Artigo 1º define princípios e diretrizes, objetivos, instrumentos para a gestão integrada e compartilhada de resíduos sólidos, com vistas à prevenção e ao controle da poluição, à proteção e à recuperação da qualidade do meio ambiente, e à promoção da saúde pública, assegurando o uso adequado dos recursos ambientais no Estado de São Paulo.</w:t>
      </w:r>
    </w:p>
    <w:p w14:paraId="5289D275" w14:textId="77777777" w:rsidR="00BE2261" w:rsidRPr="00FA5D1E" w:rsidRDefault="00BE2261" w:rsidP="00DC7D9F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Já no Artigo 2º os princípios da Política Estadual de Resíduos Sólidos são:</w:t>
      </w:r>
    </w:p>
    <w:p w14:paraId="37C3B18B" w14:textId="77777777" w:rsidR="00BE2261" w:rsidRPr="00FA5D1E" w:rsidRDefault="00BE2261" w:rsidP="00DC7D9F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[...]VI - a minimização dos resíduos por meio de incentivos às práticas ambientalmente adequadas de reutilização, reciclagem, redução e recuperação;</w:t>
      </w:r>
    </w:p>
    <w:p w14:paraId="43CB2E76" w14:textId="77777777" w:rsidR="00BE2261" w:rsidRPr="00FA5D1E" w:rsidRDefault="00BE2261" w:rsidP="00DC7D9F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[...]X - a responsabilidade dos produtores ou importadores de matérias-primas, de produtos intermediários ou acabados, transportadores, distribuidores, comerciantes, consumidores, catadores, coletores, administradores e proprietários de área de uso público e coletivo e operadores de resíduos sólidos em qualquer das fases de seu gerenciamento;</w:t>
      </w:r>
    </w:p>
    <w:p w14:paraId="0CD24193" w14:textId="07253D67" w:rsidR="00BE2261" w:rsidRPr="00DC7D9F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4"/>
          <w:szCs w:val="24"/>
        </w:rPr>
      </w:pPr>
      <w:bookmarkStart w:id="18" w:name="_Toc207895412"/>
      <w:r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CC7881" w:rsidRPr="00DC7D9F">
        <w:rPr>
          <w:rFonts w:ascii="Verdana" w:hAnsi="Verdana" w:cs="Calibri"/>
          <w:i w:val="0"/>
          <w:iCs w:val="0"/>
          <w:sz w:val="24"/>
          <w:szCs w:val="24"/>
        </w:rPr>
        <w:t>.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CC7881" w:rsidRPr="00DC7D9F">
        <w:rPr>
          <w:rFonts w:ascii="Verdana" w:hAnsi="Verdana" w:cs="Calibri"/>
          <w:i w:val="0"/>
          <w:iCs w:val="0"/>
          <w:sz w:val="24"/>
          <w:szCs w:val="24"/>
        </w:rPr>
        <w:t>2</w:t>
      </w:r>
      <w:r w:rsidR="00B96D53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. </w:t>
      </w:r>
      <w:r w:rsidR="00BC2B91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DA </w:t>
      </w:r>
      <w:r w:rsidR="00BE2261" w:rsidRPr="00DC7D9F">
        <w:rPr>
          <w:rFonts w:ascii="Verdana" w:hAnsi="Verdana" w:cs="Calibri"/>
          <w:i w:val="0"/>
          <w:iCs w:val="0"/>
          <w:sz w:val="24"/>
          <w:szCs w:val="24"/>
        </w:rPr>
        <w:t>JUSTIFICA</w:t>
      </w:r>
      <w:r w:rsidR="00753AD8" w:rsidRPr="00DC7D9F">
        <w:rPr>
          <w:rFonts w:ascii="Verdana" w:hAnsi="Verdana" w:cs="Calibri"/>
          <w:i w:val="0"/>
          <w:iCs w:val="0"/>
          <w:sz w:val="24"/>
          <w:szCs w:val="24"/>
        </w:rPr>
        <w:t xml:space="preserve">TIVA TÉCNICA </w:t>
      </w:r>
      <w:r w:rsidR="00BE2261" w:rsidRPr="00DC7D9F">
        <w:rPr>
          <w:rFonts w:ascii="Verdana" w:hAnsi="Verdana" w:cs="Calibri"/>
          <w:i w:val="0"/>
          <w:iCs w:val="0"/>
          <w:sz w:val="24"/>
          <w:szCs w:val="24"/>
        </w:rPr>
        <w:t>DO MODELO JURÍDICO PROPOSTO</w:t>
      </w:r>
      <w:bookmarkEnd w:id="18"/>
    </w:p>
    <w:p w14:paraId="6785CF67" w14:textId="01793410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implantação de uma dessas tecnologias está de acordo com as recentes políticas do setor, e em e</w:t>
      </w:r>
      <w:r w:rsidR="0044000B" w:rsidRPr="00FA5D1E">
        <w:rPr>
          <w:rFonts w:ascii="Verdana" w:hAnsi="Verdana" w:cs="Arial"/>
          <w:sz w:val="18"/>
          <w:szCs w:val="18"/>
        </w:rPr>
        <w:t>special</w:t>
      </w:r>
      <w:r w:rsidRPr="00FA5D1E">
        <w:rPr>
          <w:rFonts w:ascii="Verdana" w:hAnsi="Verdana" w:cs="Arial"/>
          <w:sz w:val="18"/>
          <w:szCs w:val="18"/>
        </w:rPr>
        <w:t xml:space="preserve"> com a Política Nacional de Resíduos Sólidos. Em seu artigo 3º, a Política entende como destinação final ambientalmente adequada as seguintes atividades:</w:t>
      </w:r>
    </w:p>
    <w:p w14:paraId="137280E8" w14:textId="0B5D319B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VII -</w:t>
      </w:r>
      <w:r w:rsidR="00BC2B91" w:rsidRPr="00FA5D1E">
        <w:rPr>
          <w:rFonts w:ascii="Verdana" w:hAnsi="Verdana" w:cs="Arial"/>
          <w:sz w:val="18"/>
          <w:szCs w:val="18"/>
        </w:rPr>
        <w:t>.</w:t>
      </w:r>
      <w:r w:rsidRPr="00FA5D1E">
        <w:rPr>
          <w:rFonts w:ascii="Verdana" w:hAnsi="Verdana" w:cs="Arial"/>
          <w:sz w:val="18"/>
          <w:szCs w:val="18"/>
        </w:rPr>
        <w:t>..destinação de resíduos que inclui a reutilização, a reciclagem, a compostagem, a recuperação e o aproveitamento energético</w:t>
      </w:r>
      <w:r w:rsidR="00BC2B91" w:rsidRPr="00FA5D1E">
        <w:rPr>
          <w:rFonts w:ascii="Verdana" w:hAnsi="Verdana" w:cs="Arial"/>
          <w:sz w:val="18"/>
          <w:szCs w:val="18"/>
        </w:rPr>
        <w:t xml:space="preserve"> térmico ou biodigestão</w:t>
      </w:r>
      <w:r w:rsidRPr="00FA5D1E">
        <w:rPr>
          <w:rFonts w:ascii="Verdana" w:hAnsi="Verdana" w:cs="Arial"/>
          <w:sz w:val="18"/>
          <w:szCs w:val="18"/>
        </w:rPr>
        <w:t xml:space="preserve"> ou outras destinações admitidas pelos órgãos competentes do Sisnama, do SNVS e do </w:t>
      </w:r>
      <w:proofErr w:type="spellStart"/>
      <w:r w:rsidRPr="00FA5D1E">
        <w:rPr>
          <w:rFonts w:ascii="Verdana" w:hAnsi="Verdana" w:cs="Arial"/>
          <w:sz w:val="18"/>
          <w:szCs w:val="18"/>
        </w:rPr>
        <w:t>Suasa</w:t>
      </w:r>
      <w:proofErr w:type="spellEnd"/>
      <w:r w:rsidRPr="00FA5D1E">
        <w:rPr>
          <w:rFonts w:ascii="Verdana" w:hAnsi="Verdana" w:cs="Arial"/>
          <w:sz w:val="18"/>
          <w:szCs w:val="18"/>
        </w:rPr>
        <w:t>, entre elas a disposição final, observando normas operacionais e</w:t>
      </w:r>
      <w:r w:rsidR="0044000B" w:rsidRPr="00FA5D1E">
        <w:rPr>
          <w:rFonts w:ascii="Verdana" w:hAnsi="Verdana" w:cs="Arial"/>
          <w:sz w:val="18"/>
          <w:szCs w:val="18"/>
        </w:rPr>
        <w:t>specíficas</w:t>
      </w:r>
      <w:r w:rsidRPr="00FA5D1E">
        <w:rPr>
          <w:rFonts w:ascii="Verdana" w:hAnsi="Verdana" w:cs="Arial"/>
          <w:sz w:val="18"/>
          <w:szCs w:val="18"/>
        </w:rPr>
        <w:t xml:space="preserve"> de modo a evitar danos ou riscos à saúde pública e à segurança e a minimizar os impactos ambientais adversos.</w:t>
      </w:r>
    </w:p>
    <w:p w14:paraId="2AC7F9A2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O artigo 7º da referida Lei, apresenta entre outros objetivos, o incentivo ao desenvolvimento de sistemas de gestão ambiental e empresarial voltados para a melhoria dos processos produtivos e ao reaproveitamento dos resíduos sólidos, incluídos a recuperação e o aproveitamento energético.</w:t>
      </w:r>
    </w:p>
    <w:p w14:paraId="54C07BEA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A recente legislação ambiental do Estado de São Paulo, regulamentando o processo de licenciamento ambiental para este tipo de empreendimento - Resolução SMA 079/2009 - define as unidades de recuperação de energia - a partir do tratamento térmico de resíduos sólidos, como tecnologias mitigadoras no enfrentamento do aquecimento global e também como </w:t>
      </w:r>
      <w:r w:rsidRPr="00FA5D1E">
        <w:rPr>
          <w:rFonts w:ascii="Verdana" w:hAnsi="Verdana" w:cs="Arial"/>
          <w:sz w:val="18"/>
          <w:szCs w:val="18"/>
        </w:rPr>
        <w:lastRenderedPageBreak/>
        <w:t>Mecanismo de Desenvolvimento Limpo pelo Comitê Executivo da Convenção Quadro da ONU - Organização das Nações Unidas sobre Mudanças Climáticas (</w:t>
      </w:r>
      <w:proofErr w:type="spellStart"/>
      <w:r w:rsidRPr="00FA5D1E">
        <w:rPr>
          <w:rFonts w:ascii="Verdana" w:hAnsi="Verdana" w:cs="Arial"/>
          <w:sz w:val="18"/>
          <w:szCs w:val="18"/>
        </w:rPr>
        <w:t>Executive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Board - UNFCCC).</w:t>
      </w:r>
    </w:p>
    <w:p w14:paraId="775EA575" w14:textId="613ADD8F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implantação desse</w:t>
      </w:r>
      <w:r w:rsidR="00BC2B91" w:rsidRPr="00FA5D1E">
        <w:rPr>
          <w:rFonts w:ascii="Verdana" w:hAnsi="Verdana" w:cs="Arial"/>
          <w:sz w:val="18"/>
          <w:szCs w:val="18"/>
        </w:rPr>
        <w:t>s</w:t>
      </w:r>
      <w:r w:rsidRPr="00FA5D1E">
        <w:rPr>
          <w:rFonts w:ascii="Verdana" w:hAnsi="Verdana" w:cs="Arial"/>
          <w:sz w:val="18"/>
          <w:szCs w:val="18"/>
        </w:rPr>
        <w:t xml:space="preserve"> sistema</w:t>
      </w:r>
      <w:r w:rsidR="00BC2B91" w:rsidRPr="00FA5D1E">
        <w:rPr>
          <w:rFonts w:ascii="Verdana" w:hAnsi="Verdana" w:cs="Arial"/>
          <w:sz w:val="18"/>
          <w:szCs w:val="18"/>
        </w:rPr>
        <w:t>s</w:t>
      </w:r>
      <w:r w:rsidRPr="00FA5D1E">
        <w:rPr>
          <w:rFonts w:ascii="Verdana" w:hAnsi="Verdana" w:cs="Arial"/>
          <w:sz w:val="18"/>
          <w:szCs w:val="18"/>
        </w:rPr>
        <w:t>, entre outros benefícios ambientais, deverá contribuir com as metas de redução de emissão de gases de efeito estufa, contribuindo com as medidas de combate ao aquecimento global, e com as metas definidas nos compromissos do País e do Estado de São Paulo no Protocolo Internacional de Copenhagen.</w:t>
      </w:r>
    </w:p>
    <w:p w14:paraId="04FE7776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Resolução SMA 079/2009 também aponta que a utilização dos resíduos sólidos urbanos como fonte de energia renovável, além de agregar valor a esses materiais, minimiza os efeitos adversos de sua disposição direta no solo e evita o transporte de resíduos a longas distâncias. A Resolução destaca a necessidade da adoção de alternativas sustentáveis principalmente em Regiões Metropolitanas como do Estado de São Paulo, onde o volume de resíduos gerado é muito elevado e a disponibilidade de áreas é quase inexistente.</w:t>
      </w:r>
    </w:p>
    <w:p w14:paraId="3139AA62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Da mesma forma, a Lei Estadual de São Paulo n.º 12.300/2006 e seu Decreto Regulamentador n.º 54.645/2009, trazem como princípios fundamentais “...minimização de resíduos por meio de incentivos às práticas ambientalmente adequadas de reutilização, reciclagem, redução e recuperação...”.</w:t>
      </w:r>
    </w:p>
    <w:p w14:paraId="0C4A3424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Unidades de aproveitamento energético são comumente utilizados em vários países para tratamento dos resíduos sólidos urbanos devido à demanda por fontes limpas de energia, à densidade populacional elevada - e sua consequente geração de resíduos - e à falta de áreas para instalação de aterros sanitários. Metas de redução para encaminhamento aos aterros sanitários e o aproveitamento energético dos resíduos são diretrizes definidas pela Comunidade </w:t>
      </w:r>
      <w:proofErr w:type="spellStart"/>
      <w:r w:rsidRPr="00FA5D1E">
        <w:rPr>
          <w:rFonts w:ascii="Verdana" w:hAnsi="Verdana" w:cs="Arial"/>
          <w:sz w:val="18"/>
          <w:szCs w:val="18"/>
        </w:rPr>
        <w:t>Européia</w:t>
      </w:r>
      <w:proofErr w:type="spellEnd"/>
      <w:r w:rsidRPr="00FA5D1E">
        <w:rPr>
          <w:rFonts w:ascii="Verdana" w:hAnsi="Verdana" w:cs="Arial"/>
          <w:sz w:val="18"/>
          <w:szCs w:val="18"/>
        </w:rPr>
        <w:t xml:space="preserve"> para o enfrentamento dos impactos ambientais da disposição de resíduos sólidos e a demanda por energia.</w:t>
      </w:r>
    </w:p>
    <w:p w14:paraId="15BF07F2" w14:textId="39820B40" w:rsidR="00BE2261" w:rsidRPr="00FA5D1E" w:rsidRDefault="00287449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Esses sistemas vêm</w:t>
      </w:r>
      <w:r w:rsidR="00BE2261" w:rsidRPr="00FA5D1E">
        <w:rPr>
          <w:rFonts w:ascii="Verdana" w:hAnsi="Verdana" w:cs="Arial"/>
          <w:sz w:val="18"/>
          <w:szCs w:val="18"/>
        </w:rPr>
        <w:t xml:space="preserve"> sendo implantados e aperfeiçoados em países como Holanda, Alemanha, França, e mais recentemente, na Espanha, Itália e Portugal. Da mesma forma essa é a principal solução adotada no Japão e outros países asiáticos. Nos Estados Unidos, a diretriz de aproveitamento energético vem sendo desenvolvida e aprimorada pela EPA – Environmental </w:t>
      </w:r>
      <w:proofErr w:type="spellStart"/>
      <w:r w:rsidR="00BE2261" w:rsidRPr="00FA5D1E">
        <w:rPr>
          <w:rFonts w:ascii="Verdana" w:hAnsi="Verdana" w:cs="Arial"/>
          <w:sz w:val="18"/>
          <w:szCs w:val="18"/>
        </w:rPr>
        <w:t>Protection</w:t>
      </w:r>
      <w:proofErr w:type="spellEnd"/>
      <w:r w:rsidR="00BE2261" w:rsidRPr="00FA5D1E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="00BE2261" w:rsidRPr="00FA5D1E">
        <w:rPr>
          <w:rFonts w:ascii="Verdana" w:hAnsi="Verdana" w:cs="Arial"/>
          <w:sz w:val="18"/>
          <w:szCs w:val="18"/>
        </w:rPr>
        <w:t>Agency</w:t>
      </w:r>
      <w:proofErr w:type="spellEnd"/>
      <w:r w:rsidR="00BE2261" w:rsidRPr="00FA5D1E">
        <w:rPr>
          <w:rFonts w:ascii="Verdana" w:hAnsi="Verdana" w:cs="Arial"/>
          <w:sz w:val="18"/>
          <w:szCs w:val="18"/>
        </w:rPr>
        <w:t>, e utilizada na maioria dos estados americanos.</w:t>
      </w:r>
    </w:p>
    <w:p w14:paraId="5CA09199" w14:textId="3632B2CC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Essas alternativas, implantadas em diversas partes do mundo, obedecem a legislação rigorosa e e</w:t>
      </w:r>
      <w:r w:rsidR="00F93C14" w:rsidRPr="00FA5D1E">
        <w:rPr>
          <w:rFonts w:ascii="Verdana" w:hAnsi="Verdana" w:cs="Arial"/>
          <w:sz w:val="18"/>
          <w:szCs w:val="18"/>
        </w:rPr>
        <w:t>specífica</w:t>
      </w:r>
      <w:r w:rsidRPr="00FA5D1E">
        <w:rPr>
          <w:rFonts w:ascii="Verdana" w:hAnsi="Verdana" w:cs="Arial"/>
          <w:sz w:val="18"/>
          <w:szCs w:val="18"/>
        </w:rPr>
        <w:t xml:space="preserve"> para controle de poluição, sistema este que vem sendo aperfeiçoado nas últimas décadas. O avanço do controle de emissão de gases resultantes do processo permite a implantação desses empreendimentos, inclusive em áreas centrais de importantes cidades, como é o caso de Viena na Áustria, de Paris na França, dentre outros.</w:t>
      </w:r>
    </w:p>
    <w:p w14:paraId="16FE8DC0" w14:textId="57B46272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lastRenderedPageBreak/>
        <w:t>Os avanços tecnológicos permitem, também, um significativo ganho de eficiência energética nesses processos e sua adaptação às características e</w:t>
      </w:r>
      <w:r w:rsidR="00F93C14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>cíficas dos resíduos gerados em diferentes países, como no caso do Brasil.</w:t>
      </w:r>
    </w:p>
    <w:p w14:paraId="3E90B932" w14:textId="64BC2ACB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Para o país, a implantação de um novo modelo de gestão com recuperação e aproveitamento de resíduos, apresenta-se como estratégia para a mitigação dos impactos dos aterros sanitários, e</w:t>
      </w:r>
      <w:r w:rsidR="00F93C14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>cialmente nas metrópoles brasileiras que vivenciam a escassez de áreas para disposição final e os custos crescentes dessa atividade, além de possibilitar novas per</w:t>
      </w:r>
      <w:r w:rsidR="00F93C14" w:rsidRPr="00FA5D1E">
        <w:rPr>
          <w:rFonts w:ascii="Verdana" w:hAnsi="Verdana" w:cs="Arial"/>
          <w:sz w:val="18"/>
          <w:szCs w:val="18"/>
        </w:rPr>
        <w:t>spe</w:t>
      </w:r>
      <w:r w:rsidRPr="00FA5D1E">
        <w:rPr>
          <w:rFonts w:ascii="Verdana" w:hAnsi="Verdana" w:cs="Arial"/>
          <w:sz w:val="18"/>
          <w:szCs w:val="18"/>
        </w:rPr>
        <w:t>ctivas no desenvolvimento de fontes alternativas de energia.</w:t>
      </w:r>
    </w:p>
    <w:p w14:paraId="511D80B7" w14:textId="77D3E34A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Além disto, são recorrentes e atuais os temas referentes ao aquecimento global, </w:t>
      </w:r>
      <w:r w:rsidR="00800E3C" w:rsidRPr="00FA5D1E">
        <w:rPr>
          <w:rFonts w:ascii="Verdana" w:hAnsi="Verdana" w:cs="Arial"/>
          <w:sz w:val="18"/>
          <w:szCs w:val="18"/>
        </w:rPr>
        <w:t>a</w:t>
      </w:r>
      <w:r w:rsidRPr="00FA5D1E">
        <w:rPr>
          <w:rFonts w:ascii="Verdana" w:hAnsi="Verdana" w:cs="Arial"/>
          <w:sz w:val="18"/>
          <w:szCs w:val="18"/>
        </w:rPr>
        <w:t xml:space="preserve"> degradação ambiental e os desequilíbrios socioeconômicos, colocando o meio ambiente na pauta da discussão mundial. Quanto aos resíduos, essa situação impõe, dentre outros a</w:t>
      </w:r>
      <w:r w:rsidR="00F93C14" w:rsidRPr="00FA5D1E">
        <w:rPr>
          <w:rFonts w:ascii="Verdana" w:hAnsi="Verdana" w:cs="Arial"/>
          <w:sz w:val="18"/>
          <w:szCs w:val="18"/>
        </w:rPr>
        <w:t>spec</w:t>
      </w:r>
      <w:r w:rsidRPr="00FA5D1E">
        <w:rPr>
          <w:rFonts w:ascii="Verdana" w:hAnsi="Verdana" w:cs="Arial"/>
          <w:sz w:val="18"/>
          <w:szCs w:val="18"/>
        </w:rPr>
        <w:t>tos, uma nova gestão e manejo considerando as práticas de minimização, recuperação, aproveitamento e valorização dos materiais, com vistas à redução da quantidade destinada aos aterros sanitários e a promoção da reciclagem, da inclusão social com geração de renda e da recuperação energética.</w:t>
      </w:r>
    </w:p>
    <w:p w14:paraId="73DFC63E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Todos os equipamentos, instalações e sistemas deverão estar em conformidade com a Resolução CONAMA n.º 316, de 29 de outubro de 2002, a Resolução SMA 079 de 04 de novembro de 2009.</w:t>
      </w:r>
    </w:p>
    <w:p w14:paraId="6AC52997" w14:textId="77777777" w:rsidR="00BE2261" w:rsidRPr="00FA5D1E" w:rsidRDefault="00BE2261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Para a implantação desse sistema deverão ser atendidos os princípios e diretrizes da Resolução CONAMA n.º 316, de 29 de outubro de 2002, sobre procedimentos e critérios para o funcionamento de sistemas de tratamento térmico de resíduos, bem como a Resolução SMA 079 de 04 de novembro de 2009, que estabelece diretrizes e condições para a operação e o licenciamento da atividade de tratamento térmico de resíduos sólidos</w:t>
      </w:r>
    </w:p>
    <w:p w14:paraId="5880B7C4" w14:textId="3E6045DF" w:rsidR="00753AD8" w:rsidRPr="00FA5D1E" w:rsidRDefault="00995269" w:rsidP="00FA5D1E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0"/>
          <w:szCs w:val="20"/>
        </w:rPr>
      </w:pPr>
      <w:bookmarkStart w:id="19" w:name="_Toc207895413"/>
      <w:r w:rsidRPr="009E6EA9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CC7881" w:rsidRPr="009E6EA9">
        <w:rPr>
          <w:rFonts w:ascii="Verdana" w:hAnsi="Verdana" w:cs="Calibri"/>
          <w:i w:val="0"/>
          <w:iCs w:val="0"/>
          <w:sz w:val="24"/>
          <w:szCs w:val="24"/>
        </w:rPr>
        <w:t>.</w:t>
      </w:r>
      <w:r w:rsidR="00B96D53" w:rsidRPr="009E6EA9">
        <w:rPr>
          <w:rFonts w:ascii="Verdana" w:hAnsi="Verdana" w:cs="Calibri"/>
          <w:i w:val="0"/>
          <w:iCs w:val="0"/>
          <w:sz w:val="24"/>
          <w:szCs w:val="24"/>
        </w:rPr>
        <w:t>1</w:t>
      </w:r>
      <w:r w:rsidR="00CC7881" w:rsidRPr="009E6EA9">
        <w:rPr>
          <w:rFonts w:ascii="Verdana" w:hAnsi="Verdana" w:cs="Calibri"/>
          <w:i w:val="0"/>
          <w:iCs w:val="0"/>
          <w:sz w:val="24"/>
          <w:szCs w:val="24"/>
        </w:rPr>
        <w:t>3</w:t>
      </w:r>
      <w:r w:rsidR="00B96D53" w:rsidRPr="009E6EA9">
        <w:rPr>
          <w:rFonts w:ascii="Verdana" w:hAnsi="Verdana" w:cs="Calibri"/>
          <w:i w:val="0"/>
          <w:iCs w:val="0"/>
          <w:sz w:val="24"/>
          <w:szCs w:val="24"/>
        </w:rPr>
        <w:t>.</w:t>
      </w:r>
      <w:r w:rsidR="00753AD8" w:rsidRPr="009E6EA9">
        <w:rPr>
          <w:rFonts w:ascii="Verdana" w:hAnsi="Verdana" w:cs="Calibri"/>
          <w:i w:val="0"/>
          <w:iCs w:val="0"/>
          <w:sz w:val="24"/>
          <w:szCs w:val="24"/>
        </w:rPr>
        <w:t xml:space="preserve"> DA JUSTIFICATIVA JURÍDICA DO MODELO PROPOSTO</w:t>
      </w:r>
      <w:bookmarkEnd w:id="19"/>
    </w:p>
    <w:p w14:paraId="0FD5452C" w14:textId="5F3AB27B" w:rsidR="00753AD8" w:rsidRPr="00FA5D1E" w:rsidRDefault="00C82A3F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outorga de Parceria Público Privada (PPP), na modalidade concessão administrativa, para a prestação dos serviços de tratamento e valorização dos resíduos sólidos domésticos com tecnologias de recuperação energética das frações seca (</w:t>
      </w:r>
      <w:r w:rsidR="00D71738" w:rsidRPr="00FA5D1E">
        <w:rPr>
          <w:rFonts w:ascii="Verdana" w:hAnsi="Verdana" w:cs="Arial"/>
          <w:sz w:val="18"/>
          <w:szCs w:val="18"/>
        </w:rPr>
        <w:t>GASEIFICAÇÃO/PIRÓLISE</w:t>
      </w:r>
      <w:r w:rsidRPr="00FA5D1E">
        <w:rPr>
          <w:rFonts w:ascii="Verdana" w:hAnsi="Verdana" w:cs="Arial"/>
          <w:sz w:val="18"/>
          <w:szCs w:val="18"/>
        </w:rPr>
        <w:t>) e úmida (biodigestão), está juridicamente amparada pelas legislações e normativas supramencionadas na Cláusula Terceira.</w:t>
      </w:r>
    </w:p>
    <w:p w14:paraId="54F197B9" w14:textId="356C1524" w:rsidR="00C82A3F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A qual deverá observar o fluxograma abaixo:</w:t>
      </w:r>
    </w:p>
    <w:p w14:paraId="3C8E8AF0" w14:textId="626FE8C9" w:rsidR="0034557E" w:rsidRPr="009E6EA9" w:rsidRDefault="00995269" w:rsidP="00FA5D1E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20" w:name="_Toc207895414"/>
      <w:r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.</w:t>
      </w:r>
      <w:r w:rsidR="00B96D53"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3.1. DA FASE PREPARATÓRIA (PLANEJAMENTO)</w:t>
      </w:r>
      <w:bookmarkEnd w:id="20"/>
    </w:p>
    <w:p w14:paraId="4374F3DA" w14:textId="25CBD904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1. </w:t>
      </w:r>
      <w:r w:rsidR="0034557E" w:rsidRPr="00FA5D1E">
        <w:rPr>
          <w:rFonts w:ascii="Verdana" w:hAnsi="Verdana" w:cs="Arial"/>
          <w:sz w:val="18"/>
          <w:szCs w:val="18"/>
        </w:rPr>
        <w:t>Estudos de viabilidade (técnica, econômica, ambiental e jurídica)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78BBC3CA" w14:textId="1D7CF80E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lastRenderedPageBreak/>
        <w:t xml:space="preserve">2. </w:t>
      </w:r>
      <w:r w:rsidR="0034557E" w:rsidRPr="00FA5D1E">
        <w:rPr>
          <w:rFonts w:ascii="Verdana" w:hAnsi="Verdana" w:cs="Arial"/>
          <w:sz w:val="18"/>
          <w:szCs w:val="18"/>
        </w:rPr>
        <w:t>Possibilidade de uso do Procedimento de Manifestação de Interesse (PMI) para receber estudos da iniciativa privada</w:t>
      </w:r>
      <w:r w:rsidRPr="00FA5D1E">
        <w:rPr>
          <w:rFonts w:ascii="Verdana" w:hAnsi="Verdana" w:cs="Arial"/>
          <w:sz w:val="18"/>
          <w:szCs w:val="18"/>
        </w:rPr>
        <w:t xml:space="preserve"> conforme </w:t>
      </w:r>
      <w:r w:rsidR="0034557E" w:rsidRPr="00FA5D1E">
        <w:rPr>
          <w:rFonts w:ascii="Verdana" w:hAnsi="Verdana" w:cs="Arial"/>
          <w:sz w:val="18"/>
          <w:szCs w:val="18"/>
        </w:rPr>
        <w:t>artigo 80 da Lei 14.133/21</w:t>
      </w:r>
      <w:r w:rsidR="0044000B" w:rsidRPr="00FA5D1E">
        <w:rPr>
          <w:rFonts w:ascii="Verdana" w:hAnsi="Verdana" w:cs="Arial"/>
          <w:sz w:val="18"/>
          <w:szCs w:val="18"/>
        </w:rPr>
        <w:t xml:space="preserve">, aprovada e homologada pelo poder concedente </w:t>
      </w:r>
      <w:r w:rsidR="00BF295A" w:rsidRPr="00FA5D1E">
        <w:rPr>
          <w:rFonts w:ascii="Verdana" w:hAnsi="Verdana" w:cs="Arial"/>
          <w:sz w:val="18"/>
          <w:szCs w:val="18"/>
        </w:rPr>
        <w:t xml:space="preserve">em ata de julgamento de 16 de </w:t>
      </w:r>
      <w:proofErr w:type="gramStart"/>
      <w:r w:rsidR="00BF295A" w:rsidRPr="00FA5D1E">
        <w:rPr>
          <w:rFonts w:ascii="Verdana" w:hAnsi="Verdana" w:cs="Arial"/>
          <w:sz w:val="18"/>
          <w:szCs w:val="18"/>
        </w:rPr>
        <w:t>Maio</w:t>
      </w:r>
      <w:proofErr w:type="gramEnd"/>
      <w:r w:rsidR="00BF295A" w:rsidRPr="00FA5D1E">
        <w:rPr>
          <w:rFonts w:ascii="Verdana" w:hAnsi="Verdana" w:cs="Arial"/>
          <w:sz w:val="18"/>
          <w:szCs w:val="18"/>
        </w:rPr>
        <w:t xml:space="preserve"> de 2018, registrada em 13 de </w:t>
      </w:r>
      <w:proofErr w:type="gramStart"/>
      <w:r w:rsidR="00BF295A" w:rsidRPr="00FA5D1E">
        <w:rPr>
          <w:rFonts w:ascii="Verdana" w:hAnsi="Verdana" w:cs="Arial"/>
          <w:sz w:val="18"/>
          <w:szCs w:val="18"/>
        </w:rPr>
        <w:t>Junho</w:t>
      </w:r>
      <w:proofErr w:type="gramEnd"/>
      <w:r w:rsidR="00BF295A" w:rsidRPr="00FA5D1E">
        <w:rPr>
          <w:rFonts w:ascii="Verdana" w:hAnsi="Verdana" w:cs="Arial"/>
          <w:sz w:val="18"/>
          <w:szCs w:val="18"/>
        </w:rPr>
        <w:t xml:space="preserve"> de 2018 e publicada no Diário Oficial do Município às folhas 191 em 14 de </w:t>
      </w:r>
      <w:proofErr w:type="gramStart"/>
      <w:r w:rsidR="00BF295A" w:rsidRPr="00FA5D1E">
        <w:rPr>
          <w:rFonts w:ascii="Verdana" w:hAnsi="Verdana" w:cs="Arial"/>
          <w:sz w:val="18"/>
          <w:szCs w:val="18"/>
        </w:rPr>
        <w:t>Junho</w:t>
      </w:r>
      <w:proofErr w:type="gramEnd"/>
      <w:r w:rsidR="00BF295A" w:rsidRPr="00FA5D1E">
        <w:rPr>
          <w:rFonts w:ascii="Verdana" w:hAnsi="Verdana" w:cs="Arial"/>
          <w:sz w:val="18"/>
          <w:szCs w:val="18"/>
        </w:rPr>
        <w:t xml:space="preserve"> de 2018.</w:t>
      </w:r>
    </w:p>
    <w:p w14:paraId="5653152B" w14:textId="14A58933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3. </w:t>
      </w:r>
      <w:r w:rsidR="0034557E" w:rsidRPr="00FA5D1E">
        <w:rPr>
          <w:rFonts w:ascii="Verdana" w:hAnsi="Verdana" w:cs="Arial"/>
          <w:sz w:val="18"/>
          <w:szCs w:val="18"/>
        </w:rPr>
        <w:t>Análise de conveniência e oportunidade, com demonstração de que a PPP é a melhor forma de contratação.</w:t>
      </w:r>
    </w:p>
    <w:p w14:paraId="4C5FE4F8" w14:textId="0B607853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4. </w:t>
      </w:r>
      <w:r w:rsidR="0034557E" w:rsidRPr="00FA5D1E">
        <w:rPr>
          <w:rFonts w:ascii="Verdana" w:hAnsi="Verdana" w:cs="Arial"/>
          <w:sz w:val="18"/>
          <w:szCs w:val="18"/>
        </w:rPr>
        <w:t>Estimativa de impacto orçamentário-financeiro e re</w:t>
      </w:r>
      <w:r w:rsidR="0044000B" w:rsidRPr="00FA5D1E">
        <w:rPr>
          <w:rFonts w:ascii="Verdana" w:hAnsi="Verdana" w:cs="Arial"/>
          <w:sz w:val="18"/>
          <w:szCs w:val="18"/>
        </w:rPr>
        <w:t>spei</w:t>
      </w:r>
      <w:r w:rsidR="0034557E" w:rsidRPr="00FA5D1E">
        <w:rPr>
          <w:rFonts w:ascii="Verdana" w:hAnsi="Verdana" w:cs="Arial"/>
          <w:sz w:val="18"/>
          <w:szCs w:val="18"/>
        </w:rPr>
        <w:t>to à L</w:t>
      </w:r>
      <w:r w:rsidR="00BF295A" w:rsidRPr="00FA5D1E">
        <w:rPr>
          <w:rFonts w:ascii="Verdana" w:hAnsi="Verdana" w:cs="Arial"/>
          <w:sz w:val="18"/>
          <w:szCs w:val="18"/>
        </w:rPr>
        <w:t>ei de Responsabilidade Fiscal</w:t>
      </w:r>
      <w:r w:rsidR="0034557E" w:rsidRPr="00FA5D1E">
        <w:rPr>
          <w:rFonts w:ascii="Verdana" w:hAnsi="Verdana" w:cs="Arial"/>
          <w:sz w:val="18"/>
          <w:szCs w:val="18"/>
        </w:rPr>
        <w:t>.</w:t>
      </w:r>
    </w:p>
    <w:p w14:paraId="15DFC979" w14:textId="5D7F49E8" w:rsidR="0034557E" w:rsidRPr="009E6EA9" w:rsidRDefault="00995269" w:rsidP="00FA5D1E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21" w:name="_Toc207895415"/>
      <w:r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.</w:t>
      </w:r>
      <w:r w:rsidR="00B96D53"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3.2. DA ESTRUTURAÇÃO DO PROJETO</w:t>
      </w:r>
      <w:bookmarkEnd w:id="21"/>
    </w:p>
    <w:p w14:paraId="4540F675" w14:textId="77777777" w:rsidR="0034557E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Definição do modelo de PPP:</w:t>
      </w:r>
    </w:p>
    <w:p w14:paraId="55B3B422" w14:textId="061ABADA" w:rsidR="0034557E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Concessão Administrativa</w:t>
      </w:r>
      <w:r w:rsidR="00F93C14" w:rsidRPr="00FA5D1E">
        <w:rPr>
          <w:rFonts w:ascii="Verdana" w:hAnsi="Verdana" w:cs="Arial"/>
          <w:sz w:val="18"/>
          <w:szCs w:val="18"/>
        </w:rPr>
        <w:t>;</w:t>
      </w:r>
    </w:p>
    <w:p w14:paraId="6A12639A" w14:textId="02CCC932" w:rsidR="0034557E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Elaboração do edital e minuta do contrato, observando os princípios do 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Pr="00FA5D1E">
        <w:rPr>
          <w:rFonts w:ascii="Verdana" w:hAnsi="Verdana" w:cs="Arial"/>
          <w:sz w:val="18"/>
          <w:szCs w:val="18"/>
        </w:rPr>
        <w:t xml:space="preserve"> 5º da Lei 14.133/21</w:t>
      </w:r>
      <w:r w:rsidR="00F93C14" w:rsidRPr="00FA5D1E">
        <w:rPr>
          <w:rFonts w:ascii="Verdana" w:hAnsi="Verdana" w:cs="Arial"/>
          <w:sz w:val="18"/>
          <w:szCs w:val="18"/>
        </w:rPr>
        <w:t xml:space="preserve">, quais sejam: </w:t>
      </w:r>
      <w:r w:rsidRPr="00FA5D1E">
        <w:rPr>
          <w:rFonts w:ascii="Verdana" w:hAnsi="Verdana" w:cs="Arial"/>
          <w:sz w:val="18"/>
          <w:szCs w:val="18"/>
        </w:rPr>
        <w:t>planejamento, transparência, eficiência, interesse público</w:t>
      </w:r>
      <w:r w:rsidR="00F93C14" w:rsidRPr="00FA5D1E">
        <w:rPr>
          <w:rFonts w:ascii="Verdana" w:hAnsi="Verdana" w:cs="Arial"/>
          <w:sz w:val="18"/>
          <w:szCs w:val="18"/>
        </w:rPr>
        <w:t>;</w:t>
      </w:r>
    </w:p>
    <w:p w14:paraId="5E83F052" w14:textId="4A0FCD57" w:rsidR="0034557E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Consulta e audiência pública </w:t>
      </w:r>
      <w:r w:rsidR="00F93C14" w:rsidRPr="00FA5D1E">
        <w:rPr>
          <w:rFonts w:ascii="Verdana" w:hAnsi="Verdana" w:cs="Arial"/>
          <w:sz w:val="18"/>
          <w:szCs w:val="18"/>
        </w:rPr>
        <w:t xml:space="preserve">conforme </w:t>
      </w:r>
      <w:r w:rsidRPr="00FA5D1E">
        <w:rPr>
          <w:rFonts w:ascii="Verdana" w:hAnsi="Verdana" w:cs="Arial"/>
          <w:sz w:val="18"/>
          <w:szCs w:val="18"/>
        </w:rPr>
        <w:t>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Pr="00FA5D1E">
        <w:rPr>
          <w:rFonts w:ascii="Verdana" w:hAnsi="Verdana" w:cs="Arial"/>
          <w:sz w:val="18"/>
          <w:szCs w:val="18"/>
        </w:rPr>
        <w:t xml:space="preserve"> 10 da Lei 11.079/2004</w:t>
      </w:r>
      <w:r w:rsidR="00F93C14" w:rsidRPr="00FA5D1E">
        <w:rPr>
          <w:rFonts w:ascii="Verdana" w:hAnsi="Verdana" w:cs="Arial"/>
          <w:sz w:val="18"/>
          <w:szCs w:val="18"/>
        </w:rPr>
        <w:t>;</w:t>
      </w:r>
    </w:p>
    <w:p w14:paraId="06A770C7" w14:textId="42142F38" w:rsidR="0034557E" w:rsidRPr="00FA5D1E" w:rsidRDefault="0034557E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Submissão ao Tribunal de Contas</w:t>
      </w:r>
      <w:r w:rsidR="00F93C14" w:rsidRPr="00FA5D1E">
        <w:rPr>
          <w:rFonts w:ascii="Verdana" w:hAnsi="Verdana" w:cs="Arial"/>
          <w:sz w:val="18"/>
          <w:szCs w:val="18"/>
        </w:rPr>
        <w:t xml:space="preserve"> do Estado de São Paulo</w:t>
      </w:r>
      <w:r w:rsidRPr="00FA5D1E">
        <w:rPr>
          <w:rFonts w:ascii="Verdana" w:hAnsi="Verdana" w:cs="Arial"/>
          <w:sz w:val="18"/>
          <w:szCs w:val="18"/>
        </w:rPr>
        <w:t>.</w:t>
      </w:r>
    </w:p>
    <w:p w14:paraId="609E46DA" w14:textId="69840171" w:rsidR="0034557E" w:rsidRPr="009E6EA9" w:rsidRDefault="00995269" w:rsidP="00FA5D1E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22" w:name="_Toc207895416"/>
      <w:r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.</w:t>
      </w:r>
      <w:r w:rsidR="00B96D53"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3.3. DA LICITAÇÃO</w:t>
      </w:r>
      <w:bookmarkEnd w:id="22"/>
    </w:p>
    <w:p w14:paraId="58E9EFFA" w14:textId="21A83D5D" w:rsidR="00F93C14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9E6EA9">
        <w:rPr>
          <w:rFonts w:ascii="Verdana" w:hAnsi="Verdana" w:cs="Arial"/>
          <w:sz w:val="18"/>
          <w:szCs w:val="18"/>
        </w:rPr>
        <w:t>1. A presente licitação será processada sob o modo de disputa fechado, nos termos do artigo 56, inciso II, da Lei nº 14.133/2021.</w:t>
      </w:r>
    </w:p>
    <w:p w14:paraId="3310FAC1" w14:textId="5261A7E2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2. </w:t>
      </w:r>
      <w:r w:rsidR="0034557E" w:rsidRPr="00FA5D1E">
        <w:rPr>
          <w:rFonts w:ascii="Verdana" w:hAnsi="Verdana" w:cs="Arial"/>
          <w:sz w:val="18"/>
          <w:szCs w:val="18"/>
        </w:rPr>
        <w:t xml:space="preserve">Realizada sob modalidade Concorrência </w:t>
      </w:r>
      <w:r w:rsidRPr="00FA5D1E">
        <w:rPr>
          <w:rFonts w:ascii="Verdana" w:hAnsi="Verdana" w:cs="Arial"/>
          <w:sz w:val="18"/>
          <w:szCs w:val="18"/>
        </w:rPr>
        <w:t xml:space="preserve">conforme </w:t>
      </w:r>
      <w:r w:rsidR="0034557E" w:rsidRPr="00FA5D1E">
        <w:rPr>
          <w:rFonts w:ascii="Verdana" w:hAnsi="Verdana" w:cs="Arial"/>
          <w:sz w:val="18"/>
          <w:szCs w:val="18"/>
        </w:rPr>
        <w:t>Lei 14.133/2021, 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="0034557E" w:rsidRPr="00FA5D1E">
        <w:rPr>
          <w:rFonts w:ascii="Verdana" w:hAnsi="Verdana" w:cs="Arial"/>
          <w:sz w:val="18"/>
          <w:szCs w:val="18"/>
        </w:rPr>
        <w:t xml:space="preserve"> 28, II.</w:t>
      </w:r>
    </w:p>
    <w:p w14:paraId="2D70849F" w14:textId="10DA7DBD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3. </w:t>
      </w:r>
      <w:r w:rsidR="00DB6D70" w:rsidRPr="00FA5D1E">
        <w:rPr>
          <w:rFonts w:ascii="Verdana" w:hAnsi="Verdana" w:cs="Arial"/>
          <w:sz w:val="18"/>
          <w:szCs w:val="18"/>
        </w:rPr>
        <w:t xml:space="preserve">Observando </w:t>
      </w:r>
      <w:r w:rsidR="0034557E" w:rsidRPr="00FA5D1E">
        <w:rPr>
          <w:rFonts w:ascii="Verdana" w:hAnsi="Verdana" w:cs="Arial"/>
          <w:sz w:val="18"/>
          <w:szCs w:val="18"/>
        </w:rPr>
        <w:t xml:space="preserve">as fases </w:t>
      </w:r>
      <w:r w:rsidRPr="00FA5D1E">
        <w:rPr>
          <w:rFonts w:ascii="Verdana" w:hAnsi="Verdana" w:cs="Arial"/>
          <w:sz w:val="18"/>
          <w:szCs w:val="18"/>
        </w:rPr>
        <w:t xml:space="preserve">previstas no </w:t>
      </w:r>
      <w:r w:rsidR="0034557E" w:rsidRPr="00FA5D1E">
        <w:rPr>
          <w:rFonts w:ascii="Verdana" w:hAnsi="Verdana" w:cs="Arial"/>
          <w:sz w:val="18"/>
          <w:szCs w:val="18"/>
        </w:rPr>
        <w:t>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="0034557E" w:rsidRPr="00FA5D1E">
        <w:rPr>
          <w:rFonts w:ascii="Verdana" w:hAnsi="Verdana" w:cs="Arial"/>
          <w:sz w:val="18"/>
          <w:szCs w:val="18"/>
        </w:rPr>
        <w:t xml:space="preserve"> 17 e seguintes:</w:t>
      </w:r>
    </w:p>
    <w:p w14:paraId="509C9EAE" w14:textId="0C6B69AA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4. </w:t>
      </w:r>
      <w:r w:rsidR="0034557E" w:rsidRPr="00FA5D1E">
        <w:rPr>
          <w:rFonts w:ascii="Verdana" w:hAnsi="Verdana" w:cs="Arial"/>
          <w:sz w:val="18"/>
          <w:szCs w:val="18"/>
        </w:rPr>
        <w:t>Preparatória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238047AA" w14:textId="2A06F219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5. </w:t>
      </w:r>
      <w:r w:rsidR="0034557E" w:rsidRPr="00FA5D1E">
        <w:rPr>
          <w:rFonts w:ascii="Verdana" w:hAnsi="Verdana" w:cs="Arial"/>
          <w:sz w:val="18"/>
          <w:szCs w:val="18"/>
        </w:rPr>
        <w:t>Divulgação do edital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0B49FF0E" w14:textId="773C57AB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6. </w:t>
      </w:r>
      <w:r w:rsidR="0034557E" w:rsidRPr="00FA5D1E">
        <w:rPr>
          <w:rFonts w:ascii="Verdana" w:hAnsi="Verdana" w:cs="Arial"/>
          <w:sz w:val="18"/>
          <w:szCs w:val="18"/>
        </w:rPr>
        <w:t>Apresentação de propostas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30CA7BB4" w14:textId="29166C97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7. </w:t>
      </w:r>
      <w:r w:rsidR="0034557E" w:rsidRPr="00FA5D1E">
        <w:rPr>
          <w:rFonts w:ascii="Verdana" w:hAnsi="Verdana" w:cs="Arial"/>
          <w:sz w:val="18"/>
          <w:szCs w:val="18"/>
        </w:rPr>
        <w:t>Julgamento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62F86408" w14:textId="78271863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lastRenderedPageBreak/>
        <w:t xml:space="preserve">8. </w:t>
      </w:r>
      <w:r w:rsidR="0034557E" w:rsidRPr="00FA5D1E">
        <w:rPr>
          <w:rFonts w:ascii="Verdana" w:hAnsi="Verdana" w:cs="Arial"/>
          <w:sz w:val="18"/>
          <w:szCs w:val="18"/>
        </w:rPr>
        <w:t>Habilitação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6E227739" w14:textId="2FF3A9AA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9. </w:t>
      </w:r>
      <w:r w:rsidR="0034557E" w:rsidRPr="00FA5D1E">
        <w:rPr>
          <w:rFonts w:ascii="Verdana" w:hAnsi="Verdana" w:cs="Arial"/>
          <w:sz w:val="18"/>
          <w:szCs w:val="18"/>
        </w:rPr>
        <w:t>Recursal</w:t>
      </w:r>
      <w:r w:rsidR="00DB6D70" w:rsidRPr="00FA5D1E">
        <w:rPr>
          <w:rFonts w:ascii="Verdana" w:hAnsi="Verdana" w:cs="Arial"/>
          <w:sz w:val="18"/>
          <w:szCs w:val="18"/>
        </w:rPr>
        <w:t>;</w:t>
      </w:r>
    </w:p>
    <w:p w14:paraId="3B44AA43" w14:textId="5A0CFC83" w:rsidR="0034557E" w:rsidRPr="00FA5D1E" w:rsidRDefault="00F93C14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10. </w:t>
      </w:r>
      <w:r w:rsidR="0034557E" w:rsidRPr="00FA5D1E">
        <w:rPr>
          <w:rFonts w:ascii="Verdana" w:hAnsi="Verdana" w:cs="Arial"/>
          <w:sz w:val="18"/>
          <w:szCs w:val="18"/>
        </w:rPr>
        <w:t>Homologação e adjudicação</w:t>
      </w:r>
      <w:r w:rsidR="00DB6D70" w:rsidRPr="00FA5D1E">
        <w:rPr>
          <w:rFonts w:ascii="Verdana" w:hAnsi="Verdana" w:cs="Arial"/>
          <w:sz w:val="18"/>
          <w:szCs w:val="18"/>
        </w:rPr>
        <w:t>.</w:t>
      </w:r>
    </w:p>
    <w:p w14:paraId="54449D30" w14:textId="730BA8B2" w:rsidR="0034557E" w:rsidRPr="009E6EA9" w:rsidRDefault="00995269" w:rsidP="00FA5D1E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23" w:name="_Toc207895417"/>
      <w:r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.</w:t>
      </w:r>
      <w:r w:rsidR="00B96D53"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3.4. DA CONTRATAÇÃO</w:t>
      </w:r>
      <w:bookmarkEnd w:id="23"/>
    </w:p>
    <w:p w14:paraId="674F13E6" w14:textId="40A6022F" w:rsidR="0034557E" w:rsidRPr="00FA5D1E" w:rsidRDefault="00F8318C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1. </w:t>
      </w:r>
      <w:r w:rsidR="0034557E" w:rsidRPr="00FA5D1E">
        <w:rPr>
          <w:rFonts w:ascii="Verdana" w:hAnsi="Verdana" w:cs="Arial"/>
          <w:sz w:val="18"/>
          <w:szCs w:val="18"/>
        </w:rPr>
        <w:t>Celebração do contrato administrativo</w:t>
      </w:r>
      <w:r w:rsidR="00EF5F0E" w:rsidRPr="00FA5D1E">
        <w:rPr>
          <w:rFonts w:ascii="Verdana" w:hAnsi="Verdana" w:cs="Arial"/>
          <w:sz w:val="18"/>
          <w:szCs w:val="18"/>
        </w:rPr>
        <w:t xml:space="preserve">, </w:t>
      </w:r>
      <w:r w:rsidR="0034557E" w:rsidRPr="00FA5D1E">
        <w:rPr>
          <w:rFonts w:ascii="Verdana" w:hAnsi="Verdana" w:cs="Arial"/>
          <w:sz w:val="18"/>
          <w:szCs w:val="18"/>
        </w:rPr>
        <w:t>observando requisitos do 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="0034557E" w:rsidRPr="00FA5D1E">
        <w:rPr>
          <w:rFonts w:ascii="Verdana" w:hAnsi="Verdana" w:cs="Arial"/>
          <w:sz w:val="18"/>
          <w:szCs w:val="18"/>
        </w:rPr>
        <w:t xml:space="preserve"> 92 da Lei 14.133/21 e art</w:t>
      </w:r>
      <w:r w:rsidR="00DB6D70" w:rsidRPr="00FA5D1E">
        <w:rPr>
          <w:rFonts w:ascii="Verdana" w:hAnsi="Verdana" w:cs="Arial"/>
          <w:sz w:val="18"/>
          <w:szCs w:val="18"/>
        </w:rPr>
        <w:t>igos</w:t>
      </w:r>
      <w:r w:rsidR="0034557E" w:rsidRPr="00FA5D1E">
        <w:rPr>
          <w:rFonts w:ascii="Verdana" w:hAnsi="Verdana" w:cs="Arial"/>
          <w:sz w:val="18"/>
          <w:szCs w:val="18"/>
        </w:rPr>
        <w:t xml:space="preserve"> 5º a 23</w:t>
      </w:r>
      <w:r w:rsidR="008055F4" w:rsidRPr="00FA5D1E">
        <w:rPr>
          <w:rFonts w:ascii="Verdana" w:hAnsi="Verdana" w:cs="Arial"/>
          <w:sz w:val="18"/>
          <w:szCs w:val="18"/>
        </w:rPr>
        <w:t xml:space="preserve">º </w:t>
      </w:r>
      <w:r w:rsidR="0034557E" w:rsidRPr="00FA5D1E">
        <w:rPr>
          <w:rFonts w:ascii="Verdana" w:hAnsi="Verdana" w:cs="Arial"/>
          <w:sz w:val="18"/>
          <w:szCs w:val="18"/>
        </w:rPr>
        <w:t>da Lei 11.079/2004</w:t>
      </w:r>
      <w:r w:rsidR="00EF5F0E" w:rsidRPr="00FA5D1E">
        <w:rPr>
          <w:rFonts w:ascii="Verdana" w:hAnsi="Verdana" w:cs="Arial"/>
          <w:sz w:val="18"/>
          <w:szCs w:val="18"/>
        </w:rPr>
        <w:t>;</w:t>
      </w:r>
    </w:p>
    <w:p w14:paraId="5FBB5A1C" w14:textId="4896F97D" w:rsidR="0034557E" w:rsidRPr="00FA5D1E" w:rsidRDefault="00F8318C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2. </w:t>
      </w:r>
      <w:r w:rsidR="0034557E" w:rsidRPr="00FA5D1E">
        <w:rPr>
          <w:rFonts w:ascii="Verdana" w:hAnsi="Verdana" w:cs="Arial"/>
          <w:sz w:val="18"/>
          <w:szCs w:val="18"/>
        </w:rPr>
        <w:t xml:space="preserve">Exigência de garantias contratuais </w:t>
      </w:r>
      <w:r w:rsidR="00EF5F0E" w:rsidRPr="00FA5D1E">
        <w:rPr>
          <w:rFonts w:ascii="Verdana" w:hAnsi="Verdana" w:cs="Arial"/>
          <w:sz w:val="18"/>
          <w:szCs w:val="18"/>
        </w:rPr>
        <w:t xml:space="preserve">conforme </w:t>
      </w:r>
      <w:r w:rsidR="0034557E" w:rsidRPr="00FA5D1E">
        <w:rPr>
          <w:rFonts w:ascii="Verdana" w:hAnsi="Verdana" w:cs="Arial"/>
          <w:sz w:val="18"/>
          <w:szCs w:val="18"/>
        </w:rPr>
        <w:t>art</w:t>
      </w:r>
      <w:r w:rsidR="00DB6D70" w:rsidRPr="00FA5D1E">
        <w:rPr>
          <w:rFonts w:ascii="Verdana" w:hAnsi="Verdana" w:cs="Arial"/>
          <w:sz w:val="18"/>
          <w:szCs w:val="18"/>
        </w:rPr>
        <w:t>igo</w:t>
      </w:r>
      <w:r w:rsidR="004A732F" w:rsidRPr="00FA5D1E">
        <w:rPr>
          <w:rFonts w:ascii="Verdana" w:hAnsi="Verdana" w:cs="Arial"/>
          <w:sz w:val="18"/>
          <w:szCs w:val="18"/>
        </w:rPr>
        <w:t>s</w:t>
      </w:r>
      <w:r w:rsidR="0034557E" w:rsidRPr="00FA5D1E">
        <w:rPr>
          <w:rFonts w:ascii="Verdana" w:hAnsi="Verdana" w:cs="Arial"/>
          <w:sz w:val="18"/>
          <w:szCs w:val="18"/>
        </w:rPr>
        <w:t xml:space="preserve"> 96</w:t>
      </w:r>
      <w:r w:rsidRPr="00FA5D1E">
        <w:rPr>
          <w:rFonts w:ascii="Verdana" w:hAnsi="Verdana" w:cs="Arial"/>
          <w:sz w:val="18"/>
          <w:szCs w:val="18"/>
        </w:rPr>
        <w:t xml:space="preserve">, II e artigo 121, </w:t>
      </w:r>
      <w:r w:rsidRPr="009E6EA9">
        <w:rPr>
          <w:rFonts w:ascii="Verdana" w:hAnsi="Verdana" w:cs="Arial"/>
          <w:sz w:val="18"/>
          <w:szCs w:val="18"/>
        </w:rPr>
        <w:t>§</w:t>
      </w:r>
      <w:r w:rsidRPr="00FA5D1E">
        <w:rPr>
          <w:rFonts w:ascii="Verdana" w:hAnsi="Verdana" w:cs="Arial"/>
          <w:sz w:val="18"/>
          <w:szCs w:val="18"/>
        </w:rPr>
        <w:t xml:space="preserve"> 1</w:t>
      </w:r>
      <w:r w:rsidRPr="009E6EA9">
        <w:rPr>
          <w:rFonts w:ascii="Verdana" w:hAnsi="Verdana" w:cs="Arial"/>
          <w:sz w:val="18"/>
          <w:szCs w:val="18"/>
        </w:rPr>
        <w:t>º</w:t>
      </w:r>
      <w:r w:rsidR="0034557E" w:rsidRPr="00FA5D1E">
        <w:rPr>
          <w:rFonts w:ascii="Verdana" w:hAnsi="Verdana" w:cs="Arial"/>
          <w:sz w:val="18"/>
          <w:szCs w:val="18"/>
        </w:rPr>
        <w:t xml:space="preserve"> da Lei 14.133/21</w:t>
      </w:r>
      <w:r w:rsidR="004A732F" w:rsidRPr="00FA5D1E">
        <w:rPr>
          <w:rFonts w:ascii="Verdana" w:hAnsi="Verdana" w:cs="Arial"/>
          <w:sz w:val="18"/>
          <w:szCs w:val="18"/>
        </w:rPr>
        <w:t>, nas modalidades abaixo:</w:t>
      </w:r>
    </w:p>
    <w:p w14:paraId="2E5F5CC9" w14:textId="7952B64B" w:rsidR="00F8318C" w:rsidRPr="00FA5D1E" w:rsidRDefault="00F8318C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2.1. Caução em dinheiro ou em títulos da dívida pública;</w:t>
      </w:r>
    </w:p>
    <w:p w14:paraId="1B775247" w14:textId="0829FAEB" w:rsidR="00F8318C" w:rsidRPr="00FA5D1E" w:rsidRDefault="00F8318C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2.2. Seguro-garantia;</w:t>
      </w:r>
    </w:p>
    <w:p w14:paraId="4B9C3DAB" w14:textId="0583FB79" w:rsidR="00F8318C" w:rsidRPr="00FA5D1E" w:rsidRDefault="00F8318C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>2.3. Fiança bancária.</w:t>
      </w:r>
    </w:p>
    <w:p w14:paraId="1C9787FA" w14:textId="2262C501" w:rsidR="0034557E" w:rsidRPr="009E6EA9" w:rsidRDefault="00995269" w:rsidP="00FA5D1E">
      <w:pPr>
        <w:pStyle w:val="Ttulo3"/>
        <w:tabs>
          <w:tab w:val="num" w:pos="1204"/>
        </w:tabs>
        <w:ind w:left="1204" w:hanging="504"/>
        <w:rPr>
          <w:rFonts w:ascii="Verdana" w:hAnsi="Verdana"/>
          <w:sz w:val="24"/>
          <w:szCs w:val="24"/>
        </w:rPr>
      </w:pPr>
      <w:bookmarkStart w:id="24" w:name="_Toc207895418"/>
      <w:r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.</w:t>
      </w:r>
      <w:r w:rsidR="00B96D53" w:rsidRPr="009E6EA9">
        <w:rPr>
          <w:rFonts w:ascii="Verdana" w:hAnsi="Verdana"/>
          <w:sz w:val="24"/>
          <w:szCs w:val="24"/>
        </w:rPr>
        <w:t>1</w:t>
      </w:r>
      <w:r w:rsidR="0034557E" w:rsidRPr="009E6EA9">
        <w:rPr>
          <w:rFonts w:ascii="Verdana" w:hAnsi="Verdana"/>
          <w:sz w:val="24"/>
          <w:szCs w:val="24"/>
        </w:rPr>
        <w:t>3.5. DA EXECUÇÃO E FISCALIZAÇÃO</w:t>
      </w:r>
      <w:bookmarkEnd w:id="24"/>
    </w:p>
    <w:p w14:paraId="7C4838D0" w14:textId="2E2F613B" w:rsidR="0034557E" w:rsidRPr="00FA5D1E" w:rsidRDefault="004A732F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1. </w:t>
      </w:r>
      <w:r w:rsidR="0034557E" w:rsidRPr="00FA5D1E">
        <w:rPr>
          <w:rFonts w:ascii="Verdana" w:hAnsi="Verdana" w:cs="Arial"/>
          <w:sz w:val="18"/>
          <w:szCs w:val="18"/>
        </w:rPr>
        <w:t>Gestão contratual por órgão gestor ou unidade de PPP.</w:t>
      </w:r>
    </w:p>
    <w:p w14:paraId="79B89033" w14:textId="7BF9D36D" w:rsidR="0034557E" w:rsidRPr="00FA5D1E" w:rsidRDefault="004A732F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2. </w:t>
      </w:r>
      <w:r w:rsidR="0034557E" w:rsidRPr="00FA5D1E">
        <w:rPr>
          <w:rFonts w:ascii="Verdana" w:hAnsi="Verdana" w:cs="Arial"/>
          <w:sz w:val="18"/>
          <w:szCs w:val="18"/>
        </w:rPr>
        <w:t>Acompanhamento de desempenho por indicadores objetivos.</w:t>
      </w:r>
    </w:p>
    <w:p w14:paraId="3880F27C" w14:textId="3EF36EE0" w:rsidR="0034557E" w:rsidRPr="00FA5D1E" w:rsidRDefault="004A732F" w:rsidP="009E6EA9">
      <w:pPr>
        <w:spacing w:before="240" w:line="360" w:lineRule="auto"/>
        <w:jc w:val="both"/>
        <w:rPr>
          <w:rFonts w:ascii="Verdana" w:hAnsi="Verdana" w:cs="Arial"/>
          <w:sz w:val="18"/>
          <w:szCs w:val="18"/>
        </w:rPr>
      </w:pPr>
      <w:r w:rsidRPr="00FA5D1E">
        <w:rPr>
          <w:rFonts w:ascii="Verdana" w:hAnsi="Verdana" w:cs="Arial"/>
          <w:sz w:val="18"/>
          <w:szCs w:val="18"/>
        </w:rPr>
        <w:t xml:space="preserve">3. </w:t>
      </w:r>
      <w:r w:rsidR="0034557E" w:rsidRPr="00FA5D1E">
        <w:rPr>
          <w:rFonts w:ascii="Verdana" w:hAnsi="Verdana" w:cs="Arial"/>
          <w:sz w:val="18"/>
          <w:szCs w:val="18"/>
        </w:rPr>
        <w:t xml:space="preserve">Possibilidade de revisão, reequilíbrio econômico-financeiro, aplicação de sanções </w:t>
      </w:r>
      <w:r w:rsidRPr="00FA5D1E">
        <w:rPr>
          <w:rFonts w:ascii="Verdana" w:hAnsi="Verdana" w:cs="Arial"/>
          <w:sz w:val="18"/>
          <w:szCs w:val="18"/>
        </w:rPr>
        <w:t xml:space="preserve">conforme </w:t>
      </w:r>
      <w:r w:rsidR="0034557E" w:rsidRPr="00FA5D1E">
        <w:rPr>
          <w:rFonts w:ascii="Verdana" w:hAnsi="Verdana" w:cs="Arial"/>
          <w:sz w:val="18"/>
          <w:szCs w:val="18"/>
        </w:rPr>
        <w:t>art</w:t>
      </w:r>
      <w:r w:rsidR="00DB6D70" w:rsidRPr="00FA5D1E">
        <w:rPr>
          <w:rFonts w:ascii="Verdana" w:hAnsi="Verdana" w:cs="Arial"/>
          <w:sz w:val="18"/>
          <w:szCs w:val="18"/>
        </w:rPr>
        <w:t>igos</w:t>
      </w:r>
      <w:r w:rsidR="0034557E" w:rsidRPr="00FA5D1E">
        <w:rPr>
          <w:rFonts w:ascii="Verdana" w:hAnsi="Verdana" w:cs="Arial"/>
          <w:sz w:val="18"/>
          <w:szCs w:val="18"/>
        </w:rPr>
        <w:t xml:space="preserve"> 137 a 142 da Lei 14.133/21.</w:t>
      </w:r>
    </w:p>
    <w:p w14:paraId="1C89C74C" w14:textId="3E5626DD" w:rsidR="00E840F2" w:rsidRDefault="00E840F2" w:rsidP="00E840F2">
      <w:pPr>
        <w:spacing w:after="240" w:line="300" w:lineRule="auto"/>
        <w:jc w:val="both"/>
        <w:rPr>
          <w:rFonts w:ascii="Verdana" w:hAnsi="Verdana" w:cs="Arial"/>
          <w:sz w:val="18"/>
          <w:szCs w:val="18"/>
        </w:rPr>
      </w:pPr>
    </w:p>
    <w:p w14:paraId="70B26A62" w14:textId="171AE398" w:rsidR="009E6EA9" w:rsidRPr="009E6EA9" w:rsidRDefault="009E6EA9" w:rsidP="009E6EA9">
      <w:pPr>
        <w:pStyle w:val="Ttulo2"/>
        <w:numPr>
          <w:ilvl w:val="0"/>
          <w:numId w:val="49"/>
        </w:numPr>
        <w:ind w:right="-709"/>
        <w:rPr>
          <w:rFonts w:ascii="Verdana" w:hAnsi="Verdana"/>
          <w:i w:val="0"/>
          <w:iCs w:val="0"/>
          <w:sz w:val="24"/>
          <w:szCs w:val="24"/>
        </w:rPr>
      </w:pPr>
      <w:r w:rsidRPr="009E6EA9">
        <w:rPr>
          <w:rFonts w:ascii="Verdana" w:hAnsi="Verdana"/>
          <w:i w:val="0"/>
          <w:iCs w:val="0"/>
          <w:sz w:val="24"/>
          <w:szCs w:val="24"/>
        </w:rPr>
        <w:t>DO PLANO MUNICIPAL DE GETÃO INTEGRADA DE RESÍDUOS SÓLIDOS</w:t>
      </w:r>
    </w:p>
    <w:p w14:paraId="3522ED39" w14:textId="77777777" w:rsidR="009E6EA9" w:rsidRDefault="009E6EA9" w:rsidP="00E840F2">
      <w:pPr>
        <w:spacing w:after="240" w:line="300" w:lineRule="auto"/>
        <w:jc w:val="both"/>
        <w:rPr>
          <w:rFonts w:ascii="Verdana" w:hAnsi="Verdana" w:cs="Arial"/>
          <w:sz w:val="18"/>
          <w:szCs w:val="18"/>
        </w:rPr>
      </w:pPr>
    </w:p>
    <w:p w14:paraId="05B8D7E2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O PMGIRS estabelece as diretrizes para:</w:t>
      </w:r>
    </w:p>
    <w:p w14:paraId="1F3EB93E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Coleta e transporte de resíduos;</w:t>
      </w:r>
    </w:p>
    <w:p w14:paraId="44554595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Reciclagem, compostagem e outras formas de valorização;</w:t>
      </w:r>
    </w:p>
    <w:p w14:paraId="165B389A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lastRenderedPageBreak/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Tratamento adequado da fração seca e úmida;</w:t>
      </w:r>
    </w:p>
    <w:p w14:paraId="44972CC2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Disposição final ambientalmente adequada;</w:t>
      </w:r>
    </w:p>
    <w:p w14:paraId="769CECE2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Inclusão social e fortalecimento de cooperativas;</w:t>
      </w:r>
    </w:p>
    <w:p w14:paraId="7D389535" w14:textId="77777777" w:rsidR="009E6EA9" w:rsidRPr="009E6EA9" w:rsidRDefault="009E6EA9" w:rsidP="009E6EA9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•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Hierarquia da gestão, conforme art. 9º da PNRS:</w:t>
      </w:r>
    </w:p>
    <w:p w14:paraId="7EC0FCE0" w14:textId="0A57E94E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1.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Não geração</w:t>
      </w:r>
    </w:p>
    <w:p w14:paraId="4CB2097F" w14:textId="77777777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2.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Redução</w:t>
      </w:r>
    </w:p>
    <w:p w14:paraId="65232B2B" w14:textId="77777777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3.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Reutilização</w:t>
      </w:r>
    </w:p>
    <w:p w14:paraId="113C0F41" w14:textId="77777777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4.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Reciclagem</w:t>
      </w:r>
    </w:p>
    <w:p w14:paraId="4821E30A" w14:textId="77777777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5.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Tratamento</w:t>
      </w:r>
    </w:p>
    <w:p w14:paraId="570FD9D6" w14:textId="77777777" w:rsidR="009E6EA9" w:rsidRPr="009E6EA9" w:rsidRDefault="009E6EA9" w:rsidP="009E6EA9">
      <w:pPr>
        <w:spacing w:after="240" w:line="300" w:lineRule="auto"/>
        <w:ind w:left="720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6.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ab/>
        <w:t>Disposição final ambientalmente adequada</w:t>
      </w:r>
    </w:p>
    <w:p w14:paraId="19216593" w14:textId="779A12FB" w:rsidR="009E6EA9" w:rsidRDefault="009E6EA9" w:rsidP="00E840F2">
      <w:pPr>
        <w:spacing w:after="240" w:line="300" w:lineRule="auto"/>
        <w:jc w:val="both"/>
        <w:rPr>
          <w:rFonts w:ascii="Verdana" w:eastAsia="Aptos" w:hAnsi="Verdana"/>
          <w:kern w:val="2"/>
          <w:sz w:val="20"/>
          <w14:ligatures w14:val="standardContextual"/>
        </w:rPr>
      </w:pPr>
      <w:r w:rsidRPr="009E6EA9">
        <w:rPr>
          <w:rFonts w:ascii="Verdana" w:eastAsia="Aptos" w:hAnsi="Verdana"/>
          <w:kern w:val="2"/>
          <w:sz w:val="20"/>
          <w14:ligatures w14:val="standardContextual"/>
        </w:rPr>
        <w:t>O projeto da U</w:t>
      </w:r>
      <w:r w:rsidR="008A0329">
        <w:rPr>
          <w:rFonts w:ascii="Verdana" w:eastAsia="Aptos" w:hAnsi="Verdana"/>
          <w:kern w:val="2"/>
          <w:sz w:val="20"/>
          <w14:ligatures w14:val="standardContextual"/>
        </w:rPr>
        <w:t xml:space="preserve">sina de 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>R</w:t>
      </w:r>
      <w:r w:rsidR="008A0329">
        <w:rPr>
          <w:rFonts w:ascii="Verdana" w:eastAsia="Aptos" w:hAnsi="Verdana"/>
          <w:kern w:val="2"/>
          <w:sz w:val="20"/>
          <w14:ligatures w14:val="standardContextual"/>
        </w:rPr>
        <w:t xml:space="preserve">ecuperação 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>E</w:t>
      </w:r>
      <w:r w:rsidR="008A0329">
        <w:rPr>
          <w:rFonts w:ascii="Verdana" w:eastAsia="Aptos" w:hAnsi="Verdana"/>
          <w:kern w:val="2"/>
          <w:sz w:val="20"/>
          <w14:ligatures w14:val="standardContextual"/>
        </w:rPr>
        <w:t>nergética</w:t>
      </w:r>
      <w:r w:rsidRPr="009E6EA9">
        <w:rPr>
          <w:rFonts w:ascii="Verdana" w:eastAsia="Aptos" w:hAnsi="Verdana"/>
          <w:kern w:val="2"/>
          <w:sz w:val="20"/>
          <w14:ligatures w14:val="standardContextual"/>
        </w:rPr>
        <w:t xml:space="preserve"> integra-se como opção de tratamento, observando integralmente a hierarquia.</w:t>
      </w:r>
    </w:p>
    <w:p w14:paraId="3513C33B" w14:textId="77777777" w:rsidR="00DE1556" w:rsidRPr="00AF6348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AF6348">
        <w:rPr>
          <w:rFonts w:ascii="Verdana" w:hAnsi="Verdana"/>
          <w:i w:val="0"/>
          <w:iCs w:val="0"/>
          <w:sz w:val="24"/>
          <w:szCs w:val="24"/>
        </w:rPr>
        <w:t>3. DO MODELO TECNOLÓGICO ADOTADO</w:t>
      </w:r>
    </w:p>
    <w:p w14:paraId="52358CEB" w14:textId="77777777" w:rsidR="00DE1556" w:rsidRPr="00AF6348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AF6348">
        <w:rPr>
          <w:rFonts w:ascii="Verdana" w:hAnsi="Verdana" w:cs="Arial"/>
          <w:sz w:val="18"/>
          <w:szCs w:val="18"/>
        </w:rPr>
        <w:t>O projeto prevê o tratamento de resíduos sólidos urbanos mediante:</w:t>
      </w:r>
    </w:p>
    <w:p w14:paraId="6B6BEF15" w14:textId="77777777" w:rsidR="00DE1556" w:rsidRPr="00AF6348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AF6348">
        <w:rPr>
          <w:rFonts w:ascii="Verdana" w:hAnsi="Verdana" w:cs="Arial"/>
          <w:sz w:val="18"/>
          <w:szCs w:val="18"/>
        </w:rPr>
        <w:t>a) Gaseificação e/ou Pirólise da fração seca, com geração de gás de síntese e aproveitamento energético</w:t>
      </w:r>
      <w:r>
        <w:rPr>
          <w:rFonts w:ascii="Verdana" w:hAnsi="Verdana" w:cs="Arial"/>
          <w:sz w:val="18"/>
          <w:szCs w:val="18"/>
        </w:rPr>
        <w:t xml:space="preserve"> com geração de energia elétrica</w:t>
      </w:r>
      <w:r w:rsidRPr="00AF6348">
        <w:rPr>
          <w:rFonts w:ascii="Verdana" w:hAnsi="Verdana" w:cs="Arial"/>
          <w:sz w:val="18"/>
          <w:szCs w:val="18"/>
        </w:rPr>
        <w:t>;</w:t>
      </w:r>
    </w:p>
    <w:p w14:paraId="26BFDF0F" w14:textId="77777777" w:rsidR="00DE1556" w:rsidRPr="00AF6348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AF6348">
        <w:rPr>
          <w:rFonts w:ascii="Verdana" w:hAnsi="Verdana" w:cs="Arial"/>
          <w:sz w:val="18"/>
          <w:szCs w:val="18"/>
        </w:rPr>
        <w:t>b) Biodigestão anaeróbia da fração úmida, com geração de biogás</w:t>
      </w:r>
      <w:r>
        <w:rPr>
          <w:rFonts w:ascii="Verdana" w:hAnsi="Verdana" w:cs="Arial"/>
          <w:sz w:val="18"/>
          <w:szCs w:val="18"/>
        </w:rPr>
        <w:t>, biometano, CO2</w:t>
      </w:r>
      <w:r w:rsidRPr="00AF6348">
        <w:rPr>
          <w:rFonts w:ascii="Verdana" w:hAnsi="Verdana" w:cs="Arial"/>
          <w:sz w:val="18"/>
          <w:szCs w:val="18"/>
        </w:rPr>
        <w:t xml:space="preserve"> e</w:t>
      </w:r>
      <w:r>
        <w:rPr>
          <w:rFonts w:ascii="Verdana" w:hAnsi="Verdana" w:cs="Arial"/>
          <w:sz w:val="18"/>
          <w:szCs w:val="18"/>
        </w:rPr>
        <w:t>/ou</w:t>
      </w:r>
      <w:r w:rsidRPr="00AF6348">
        <w:rPr>
          <w:rFonts w:ascii="Verdana" w:hAnsi="Verdana" w:cs="Arial"/>
          <w:sz w:val="18"/>
          <w:szCs w:val="18"/>
        </w:rPr>
        <w:t xml:space="preserve"> energia elétrica;</w:t>
      </w:r>
    </w:p>
    <w:p w14:paraId="29DD019E" w14:textId="77777777" w:rsidR="00DE1556" w:rsidRPr="00AF6348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AF6348">
        <w:rPr>
          <w:rFonts w:ascii="Verdana" w:hAnsi="Verdana" w:cs="Arial"/>
          <w:sz w:val="18"/>
          <w:szCs w:val="18"/>
        </w:rPr>
        <w:t>c) Valorização energética de acordo com o Plano Municipal de Gestão Integrada de Resíduos Sólidos</w:t>
      </w:r>
      <w:r>
        <w:rPr>
          <w:rFonts w:ascii="Verdana" w:hAnsi="Verdana" w:cs="Arial"/>
          <w:sz w:val="18"/>
          <w:szCs w:val="18"/>
        </w:rPr>
        <w:t xml:space="preserve">- </w:t>
      </w:r>
      <w:r w:rsidRPr="00AF6348">
        <w:rPr>
          <w:rFonts w:ascii="Verdana" w:hAnsi="Verdana" w:cs="Arial"/>
          <w:sz w:val="18"/>
          <w:szCs w:val="18"/>
        </w:rPr>
        <w:t xml:space="preserve">PMGIRS e </w:t>
      </w:r>
      <w:r>
        <w:rPr>
          <w:rFonts w:ascii="Verdana" w:hAnsi="Verdana" w:cs="Arial"/>
          <w:sz w:val="18"/>
          <w:szCs w:val="18"/>
        </w:rPr>
        <w:t xml:space="preserve">a Política Nacional de Resíduos Sólidos - </w:t>
      </w:r>
      <w:r w:rsidRPr="00AF6348">
        <w:rPr>
          <w:rFonts w:ascii="Verdana" w:hAnsi="Verdana" w:cs="Arial"/>
          <w:sz w:val="18"/>
          <w:szCs w:val="18"/>
        </w:rPr>
        <w:t>PNRS;</w:t>
      </w:r>
    </w:p>
    <w:p w14:paraId="1E93C299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AF6348">
        <w:rPr>
          <w:rFonts w:ascii="Verdana" w:hAnsi="Verdana" w:cs="Arial"/>
          <w:sz w:val="18"/>
          <w:szCs w:val="18"/>
        </w:rPr>
        <w:t>d) Observância às melhores práticas ambientais e de eficiência energética.</w:t>
      </w:r>
    </w:p>
    <w:p w14:paraId="259D23E7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187710DD" w14:textId="77777777" w:rsidR="00DE1556" w:rsidRPr="00E45A85" w:rsidRDefault="00DE1556" w:rsidP="00DE1556">
      <w:pPr>
        <w:pStyle w:val="Ttulo2"/>
        <w:tabs>
          <w:tab w:val="num" w:pos="792"/>
        </w:tabs>
        <w:ind w:left="792" w:hanging="432"/>
        <w:rPr>
          <w:rFonts w:ascii="Verdana" w:hAnsi="Verdana" w:cs="Calibri"/>
          <w:i w:val="0"/>
          <w:iCs w:val="0"/>
          <w:sz w:val="20"/>
          <w:szCs w:val="20"/>
        </w:rPr>
      </w:pPr>
      <w:r w:rsidRPr="00E45A85">
        <w:rPr>
          <w:rFonts w:ascii="Verdana" w:hAnsi="Verdana" w:cs="Calibri"/>
          <w:i w:val="0"/>
          <w:iCs w:val="0"/>
          <w:sz w:val="20"/>
          <w:szCs w:val="20"/>
        </w:rPr>
        <w:t>3.1. JUSTIFICATIVA TÉCNICA E JURÍDICA DA TECNOLOGIA</w:t>
      </w:r>
    </w:p>
    <w:p w14:paraId="2ACEADC0" w14:textId="77777777" w:rsidR="00DE1556" w:rsidRPr="00E45A85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E45A85">
        <w:rPr>
          <w:rFonts w:ascii="Verdana" w:hAnsi="Verdana" w:cs="Arial"/>
          <w:sz w:val="18"/>
          <w:szCs w:val="18"/>
        </w:rPr>
        <w:t xml:space="preserve">Em observância à </w:t>
      </w:r>
      <w:r>
        <w:rPr>
          <w:rFonts w:ascii="Verdana" w:hAnsi="Verdana" w:cs="Arial"/>
          <w:sz w:val="18"/>
          <w:szCs w:val="18"/>
        </w:rPr>
        <w:t xml:space="preserve">Política Nacional de Resíduos Sólidos - </w:t>
      </w:r>
      <w:r w:rsidRPr="00E45A85">
        <w:rPr>
          <w:rFonts w:ascii="Verdana" w:hAnsi="Verdana" w:cs="Arial"/>
          <w:sz w:val="18"/>
          <w:szCs w:val="18"/>
        </w:rPr>
        <w:t>PNRS, o Município demonstrou:</w:t>
      </w:r>
    </w:p>
    <w:p w14:paraId="55EC72D2" w14:textId="77777777" w:rsidR="00DE1556" w:rsidRPr="00E45A85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E45A85">
        <w:rPr>
          <w:rFonts w:ascii="Verdana" w:hAnsi="Verdana" w:cs="Arial"/>
          <w:sz w:val="18"/>
          <w:szCs w:val="18"/>
        </w:rPr>
        <w:t>•</w:t>
      </w:r>
      <w:r w:rsidRPr="00E45A85">
        <w:rPr>
          <w:rFonts w:ascii="Verdana" w:hAnsi="Verdana" w:cs="Arial"/>
          <w:sz w:val="18"/>
          <w:szCs w:val="18"/>
        </w:rPr>
        <w:tab/>
        <w:t>que a reciclagem foi priorizada como etapa prévia;</w:t>
      </w:r>
    </w:p>
    <w:p w14:paraId="6AFDB47C" w14:textId="77777777" w:rsidR="00DE1556" w:rsidRPr="00E45A85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E45A85">
        <w:rPr>
          <w:rFonts w:ascii="Verdana" w:hAnsi="Verdana" w:cs="Arial"/>
          <w:sz w:val="18"/>
          <w:szCs w:val="18"/>
        </w:rPr>
        <w:t>•</w:t>
      </w:r>
      <w:r w:rsidRPr="00E45A85">
        <w:rPr>
          <w:rFonts w:ascii="Verdana" w:hAnsi="Verdana" w:cs="Arial"/>
          <w:sz w:val="18"/>
          <w:szCs w:val="18"/>
        </w:rPr>
        <w:tab/>
        <w:t>que a U</w:t>
      </w:r>
      <w:r>
        <w:rPr>
          <w:rFonts w:ascii="Verdana" w:hAnsi="Verdana" w:cs="Arial"/>
          <w:sz w:val="18"/>
          <w:szCs w:val="18"/>
        </w:rPr>
        <w:t xml:space="preserve">sina de </w:t>
      </w:r>
      <w:r w:rsidRPr="00E45A85">
        <w:rPr>
          <w:rFonts w:ascii="Verdana" w:hAnsi="Verdana" w:cs="Arial"/>
          <w:sz w:val="18"/>
          <w:szCs w:val="18"/>
        </w:rPr>
        <w:t>R</w:t>
      </w:r>
      <w:r>
        <w:rPr>
          <w:rFonts w:ascii="Verdana" w:hAnsi="Verdana" w:cs="Arial"/>
          <w:sz w:val="18"/>
          <w:szCs w:val="18"/>
        </w:rPr>
        <w:t xml:space="preserve">ecuperação </w:t>
      </w:r>
      <w:r w:rsidRPr="00E45A85">
        <w:rPr>
          <w:rFonts w:ascii="Verdana" w:hAnsi="Verdana" w:cs="Arial"/>
          <w:sz w:val="18"/>
          <w:szCs w:val="18"/>
        </w:rPr>
        <w:t>E</w:t>
      </w:r>
      <w:r>
        <w:rPr>
          <w:rFonts w:ascii="Verdana" w:hAnsi="Verdana" w:cs="Arial"/>
          <w:sz w:val="18"/>
          <w:szCs w:val="18"/>
        </w:rPr>
        <w:t>nergética</w:t>
      </w:r>
      <w:r w:rsidRPr="00E45A85">
        <w:rPr>
          <w:rFonts w:ascii="Verdana" w:hAnsi="Verdana" w:cs="Arial"/>
          <w:sz w:val="18"/>
          <w:szCs w:val="18"/>
        </w:rPr>
        <w:t xml:space="preserve"> será utilizada apenas para as frações </w:t>
      </w:r>
      <w:r>
        <w:rPr>
          <w:rFonts w:ascii="Verdana" w:hAnsi="Verdana" w:cs="Arial"/>
          <w:sz w:val="18"/>
          <w:szCs w:val="18"/>
        </w:rPr>
        <w:t>que não foram recicladas</w:t>
      </w:r>
      <w:r w:rsidRPr="00E45A85">
        <w:rPr>
          <w:rFonts w:ascii="Verdana" w:hAnsi="Verdana" w:cs="Arial"/>
          <w:sz w:val="18"/>
          <w:szCs w:val="18"/>
        </w:rPr>
        <w:t>;</w:t>
      </w:r>
    </w:p>
    <w:p w14:paraId="2201DCDA" w14:textId="77777777" w:rsidR="00DE1556" w:rsidRPr="00E45A85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E45A85">
        <w:rPr>
          <w:rFonts w:ascii="Verdana" w:hAnsi="Verdana" w:cs="Arial"/>
          <w:sz w:val="18"/>
          <w:szCs w:val="18"/>
        </w:rPr>
        <w:t>•</w:t>
      </w:r>
      <w:r w:rsidRPr="00E45A85">
        <w:rPr>
          <w:rFonts w:ascii="Verdana" w:hAnsi="Verdana" w:cs="Arial"/>
          <w:sz w:val="18"/>
          <w:szCs w:val="18"/>
        </w:rPr>
        <w:tab/>
        <w:t xml:space="preserve">que a valorização energética </w:t>
      </w:r>
      <w:r>
        <w:rPr>
          <w:rFonts w:ascii="Verdana" w:hAnsi="Verdana" w:cs="Arial"/>
          <w:sz w:val="18"/>
          <w:szCs w:val="18"/>
        </w:rPr>
        <w:t xml:space="preserve">minimiza a quantidade de </w:t>
      </w:r>
      <w:r w:rsidRPr="00E45A85">
        <w:rPr>
          <w:rFonts w:ascii="Verdana" w:hAnsi="Verdana" w:cs="Arial"/>
          <w:sz w:val="18"/>
          <w:szCs w:val="18"/>
        </w:rPr>
        <w:t>disposição em aterros</w:t>
      </w:r>
      <w:r>
        <w:rPr>
          <w:rFonts w:ascii="Verdana" w:hAnsi="Verdana" w:cs="Arial"/>
          <w:sz w:val="18"/>
          <w:szCs w:val="18"/>
        </w:rPr>
        <w:t xml:space="preserve"> sanitários</w:t>
      </w:r>
      <w:r w:rsidRPr="00E45A85">
        <w:rPr>
          <w:rFonts w:ascii="Verdana" w:hAnsi="Verdana" w:cs="Arial"/>
          <w:sz w:val="18"/>
          <w:szCs w:val="18"/>
        </w:rPr>
        <w:t>;</w:t>
      </w:r>
    </w:p>
    <w:p w14:paraId="3C826EF0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E45A85">
        <w:rPr>
          <w:rFonts w:ascii="Verdana" w:hAnsi="Verdana" w:cs="Arial"/>
          <w:sz w:val="18"/>
          <w:szCs w:val="18"/>
        </w:rPr>
        <w:t>•</w:t>
      </w:r>
      <w:r w:rsidRPr="00E45A85">
        <w:rPr>
          <w:rFonts w:ascii="Verdana" w:hAnsi="Verdana" w:cs="Arial"/>
          <w:sz w:val="18"/>
          <w:szCs w:val="18"/>
        </w:rPr>
        <w:tab/>
        <w:t>que há viabilidade econômica e ambiental comprovada.</w:t>
      </w:r>
    </w:p>
    <w:p w14:paraId="72E6BB8F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18B65D01" w14:textId="77777777" w:rsidR="00DE1556" w:rsidRPr="00C41B00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C41B00">
        <w:rPr>
          <w:rFonts w:ascii="Verdana" w:hAnsi="Verdana"/>
          <w:i w:val="0"/>
          <w:iCs w:val="0"/>
          <w:sz w:val="24"/>
          <w:szCs w:val="24"/>
        </w:rPr>
        <w:lastRenderedPageBreak/>
        <w:t>4. DO PROCESSO LICITATÓRIO</w:t>
      </w:r>
    </w:p>
    <w:p w14:paraId="271AB32D" w14:textId="77777777" w:rsidR="00DE1556" w:rsidRPr="00C41B00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41B00">
        <w:rPr>
          <w:rFonts w:ascii="Verdana" w:hAnsi="Verdana" w:cs="Arial"/>
          <w:sz w:val="18"/>
          <w:szCs w:val="18"/>
        </w:rPr>
        <w:t>A licitação será realizada conforme a Lei 14.133/2021, adotando-se modo de disputa fechado, em razão de:</w:t>
      </w:r>
    </w:p>
    <w:p w14:paraId="46588796" w14:textId="77777777" w:rsidR="00DE1556" w:rsidRPr="00C41B00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41B00">
        <w:rPr>
          <w:rFonts w:ascii="Verdana" w:hAnsi="Verdana" w:cs="Arial"/>
          <w:sz w:val="18"/>
          <w:szCs w:val="18"/>
        </w:rPr>
        <w:t>a) Alta complexidade técnica e financeira;</w:t>
      </w:r>
    </w:p>
    <w:p w14:paraId="4D564ED9" w14:textId="77777777" w:rsidR="00DE1556" w:rsidRPr="00C41B00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41B00">
        <w:rPr>
          <w:rFonts w:ascii="Verdana" w:hAnsi="Verdana" w:cs="Arial"/>
          <w:sz w:val="18"/>
          <w:szCs w:val="18"/>
        </w:rPr>
        <w:t>b) Necessidade de sigilo empresarial nas estratégias de precificação;</w:t>
      </w:r>
    </w:p>
    <w:p w14:paraId="031BAE02" w14:textId="77777777" w:rsidR="00DE1556" w:rsidRPr="00C41B00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41B00">
        <w:rPr>
          <w:rFonts w:ascii="Verdana" w:hAnsi="Verdana" w:cs="Arial"/>
          <w:sz w:val="18"/>
          <w:szCs w:val="18"/>
        </w:rPr>
        <w:t>c) Mitigação de propostas aventureiras;</w:t>
      </w:r>
    </w:p>
    <w:p w14:paraId="57EF27AA" w14:textId="77777777" w:rsidR="00DE1556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41B00">
        <w:rPr>
          <w:rFonts w:ascii="Verdana" w:hAnsi="Verdana" w:cs="Arial"/>
          <w:sz w:val="18"/>
          <w:szCs w:val="18"/>
        </w:rPr>
        <w:t>d) Garantia de estabilidade e competitividade.</w:t>
      </w:r>
    </w:p>
    <w:p w14:paraId="0CD193A8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5F1A57EA" w14:textId="77777777" w:rsidR="00DE1556" w:rsidRPr="00052C4D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052C4D">
        <w:rPr>
          <w:rFonts w:ascii="Verdana" w:hAnsi="Verdana"/>
          <w:i w:val="0"/>
          <w:iCs w:val="0"/>
          <w:sz w:val="24"/>
          <w:szCs w:val="24"/>
        </w:rPr>
        <w:t>5. DOS ATOS DE AUTORIZAÇÃO E DO PMI</w:t>
      </w:r>
    </w:p>
    <w:p w14:paraId="10AB9B94" w14:textId="77777777" w:rsidR="00DE1556" w:rsidRPr="00052C4D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052C4D">
        <w:rPr>
          <w:rFonts w:ascii="Verdana" w:hAnsi="Verdana" w:cs="Arial"/>
          <w:sz w:val="18"/>
          <w:szCs w:val="18"/>
        </w:rPr>
        <w:t>Os Estudos de Modelagem Técnica, Jurídica e Econômico-Financeira foram iniciados com base no:</w:t>
      </w:r>
    </w:p>
    <w:p w14:paraId="227C4200" w14:textId="77777777" w:rsidR="00DE1556" w:rsidRPr="00052C4D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052C4D">
        <w:rPr>
          <w:rFonts w:ascii="Verdana" w:hAnsi="Verdana" w:cs="Arial"/>
          <w:sz w:val="18"/>
          <w:szCs w:val="18"/>
        </w:rPr>
        <w:t>•</w:t>
      </w:r>
      <w:r w:rsidRPr="00052C4D">
        <w:rPr>
          <w:rFonts w:ascii="Verdana" w:hAnsi="Verdana" w:cs="Arial"/>
          <w:sz w:val="18"/>
          <w:szCs w:val="18"/>
        </w:rPr>
        <w:tab/>
        <w:t>PMI SMALP nº 001/2017, homologado em 14/06/2018,</w:t>
      </w:r>
    </w:p>
    <w:p w14:paraId="13FCCD8C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052C4D">
        <w:rPr>
          <w:rFonts w:ascii="Verdana" w:hAnsi="Verdana" w:cs="Arial"/>
          <w:sz w:val="18"/>
          <w:szCs w:val="18"/>
        </w:rPr>
        <w:t>•</w:t>
      </w:r>
      <w:r w:rsidRPr="00052C4D"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>P</w:t>
      </w:r>
      <w:r w:rsidRPr="00052C4D">
        <w:rPr>
          <w:rFonts w:ascii="Verdana" w:hAnsi="Verdana" w:cs="Arial"/>
          <w:sz w:val="18"/>
          <w:szCs w:val="18"/>
        </w:rPr>
        <w:t>osteriormente atualizado pelos estudos realizados entre 2024 e 2025, em razão da modernização da tecnologia, atualização do PMGIRS e evolução regulatória.</w:t>
      </w:r>
    </w:p>
    <w:p w14:paraId="64663BA4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410ADCDE" w14:textId="77777777" w:rsidR="00DE1556" w:rsidRPr="00220629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220629">
        <w:rPr>
          <w:rFonts w:ascii="Verdana" w:hAnsi="Verdana"/>
          <w:i w:val="0"/>
          <w:iCs w:val="0"/>
          <w:sz w:val="24"/>
          <w:szCs w:val="24"/>
        </w:rPr>
        <w:t>6. DO CONTRATO E SUAS PRINCIPAIS CLÁUSULAS</w:t>
      </w:r>
    </w:p>
    <w:p w14:paraId="58C805C4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O contrato conterá:</w:t>
      </w:r>
    </w:p>
    <w:p w14:paraId="0C92173C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matriz de riscos clara;</w:t>
      </w:r>
    </w:p>
    <w:p w14:paraId="5B9202E8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indicadores de desempenho;</w:t>
      </w:r>
    </w:p>
    <w:p w14:paraId="0B865B45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metas ambientais e operacionais;</w:t>
      </w:r>
    </w:p>
    <w:p w14:paraId="3C682981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regime tarifário;</w:t>
      </w:r>
    </w:p>
    <w:p w14:paraId="030CFFA0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garantias contratuais;</w:t>
      </w:r>
    </w:p>
    <w:p w14:paraId="24B754B9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bens reversíveis;</w:t>
      </w:r>
    </w:p>
    <w:p w14:paraId="283A0E82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sistema de fiscalização e auditoria;</w:t>
      </w:r>
    </w:p>
    <w:p w14:paraId="564B5EC7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regras de reequilíbrio econômico-financeiro;</w:t>
      </w:r>
    </w:p>
    <w:p w14:paraId="247FD20F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penalidades proporcionais.</w:t>
      </w:r>
    </w:p>
    <w:p w14:paraId="56AA5427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5F6B39AD" w14:textId="77777777" w:rsidR="00DE1556" w:rsidRPr="00220629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220629">
        <w:rPr>
          <w:rFonts w:ascii="Verdana" w:hAnsi="Verdana"/>
          <w:i w:val="0"/>
          <w:iCs w:val="0"/>
          <w:sz w:val="24"/>
          <w:szCs w:val="24"/>
        </w:rPr>
        <w:t>7. DO FLUXOGRAMA DO PROCESSO</w:t>
      </w:r>
    </w:p>
    <w:p w14:paraId="2F909610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Será apresentado fluxograma contendo:</w:t>
      </w:r>
    </w:p>
    <w:p w14:paraId="58D9B316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a) Recepção e preparação da fração seca;</w:t>
      </w:r>
    </w:p>
    <w:p w14:paraId="32B83393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b) Recepção e preparação da fração úmida;</w:t>
      </w:r>
    </w:p>
    <w:p w14:paraId="5F9F6D69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c) Processo de gaseificação/pirólise;</w:t>
      </w:r>
    </w:p>
    <w:p w14:paraId="02353B47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d) Geração, limpeza e uso do gás de síntese;</w:t>
      </w:r>
    </w:p>
    <w:p w14:paraId="4F2FB602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e) Processo de biodigestão, produção de biogás e energia;</w:t>
      </w:r>
    </w:p>
    <w:p w14:paraId="746652CD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f) Sistema de controle ambiental e efluentes;</w:t>
      </w:r>
    </w:p>
    <w:p w14:paraId="14837EC8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g) Gestão de rejeitos e valorização final.</w:t>
      </w:r>
    </w:p>
    <w:p w14:paraId="13A37F53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02583D44" w14:textId="77777777" w:rsidR="00DE1556" w:rsidRPr="00220629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220629">
        <w:rPr>
          <w:rFonts w:ascii="Verdana" w:hAnsi="Verdana"/>
          <w:i w:val="0"/>
          <w:iCs w:val="0"/>
          <w:sz w:val="24"/>
          <w:szCs w:val="24"/>
        </w:rPr>
        <w:lastRenderedPageBreak/>
        <w:t>8. DA CONFORMIDADE AMBIENTAL</w:t>
      </w:r>
    </w:p>
    <w:p w14:paraId="0E331054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O projeto observará:</w:t>
      </w:r>
    </w:p>
    <w:p w14:paraId="580629F4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P</w:t>
      </w:r>
      <w:r>
        <w:rPr>
          <w:rFonts w:ascii="Verdana" w:hAnsi="Verdana" w:cs="Arial"/>
          <w:sz w:val="18"/>
          <w:szCs w:val="18"/>
        </w:rPr>
        <w:t>olítica Nacional de Resíduos Sólidos - P</w:t>
      </w:r>
      <w:r w:rsidRPr="00220629">
        <w:rPr>
          <w:rFonts w:ascii="Verdana" w:hAnsi="Verdana" w:cs="Arial"/>
          <w:sz w:val="18"/>
          <w:szCs w:val="18"/>
        </w:rPr>
        <w:t>NRS</w:t>
      </w:r>
    </w:p>
    <w:p w14:paraId="7F845266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</w:r>
      <w:r w:rsidRPr="00DB504B">
        <w:rPr>
          <w:rFonts w:ascii="Verdana" w:hAnsi="Verdana" w:cs="Arial"/>
          <w:sz w:val="18"/>
          <w:szCs w:val="18"/>
        </w:rPr>
        <w:t>Plano Municipal de Gestão Integrada de Resíduos Sólidos</w:t>
      </w:r>
      <w:r>
        <w:rPr>
          <w:rFonts w:ascii="Verdana" w:hAnsi="Verdana" w:cs="Arial"/>
          <w:sz w:val="18"/>
          <w:szCs w:val="18"/>
        </w:rPr>
        <w:t xml:space="preserve"> - </w:t>
      </w:r>
      <w:r w:rsidRPr="00220629">
        <w:rPr>
          <w:rFonts w:ascii="Verdana" w:hAnsi="Verdana" w:cs="Arial"/>
          <w:sz w:val="18"/>
          <w:szCs w:val="18"/>
        </w:rPr>
        <w:t>PMGIRS</w:t>
      </w:r>
    </w:p>
    <w:p w14:paraId="125A0E51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Licenciamento ambiental CETESB</w:t>
      </w:r>
    </w:p>
    <w:p w14:paraId="23E3E543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Normas CONAMA</w:t>
      </w:r>
    </w:p>
    <w:p w14:paraId="78DEF8C7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Integração com coleta seletiva e cooperativas</w:t>
      </w:r>
    </w:p>
    <w:p w14:paraId="1CFAE866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Estratégias de redução de rejeitos enviados aos aterros</w:t>
      </w:r>
    </w:p>
    <w:p w14:paraId="60B25F81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•</w:t>
      </w:r>
      <w:r w:rsidRPr="00220629">
        <w:rPr>
          <w:rFonts w:ascii="Verdana" w:hAnsi="Verdana" w:cs="Arial"/>
          <w:sz w:val="18"/>
          <w:szCs w:val="18"/>
        </w:rPr>
        <w:tab/>
        <w:t>Monitoramento ambiental completo</w:t>
      </w:r>
    </w:p>
    <w:p w14:paraId="3606B886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3AE1AC4B" w14:textId="77777777" w:rsidR="00DE1556" w:rsidRPr="00DB504B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DB504B">
        <w:rPr>
          <w:rFonts w:ascii="Verdana" w:hAnsi="Verdana"/>
          <w:i w:val="0"/>
          <w:iCs w:val="0"/>
          <w:sz w:val="24"/>
          <w:szCs w:val="24"/>
        </w:rPr>
        <w:t>9. DOS INDICADORES DE DESEMPENHO</w:t>
      </w:r>
    </w:p>
    <w:p w14:paraId="7E9B9B40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Serão aplicados indicadores nas dimensões:</w:t>
      </w:r>
    </w:p>
    <w:p w14:paraId="329FD692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a) Operação da U</w:t>
      </w:r>
      <w:r>
        <w:rPr>
          <w:rFonts w:ascii="Verdana" w:hAnsi="Verdana" w:cs="Arial"/>
          <w:sz w:val="18"/>
          <w:szCs w:val="18"/>
        </w:rPr>
        <w:t xml:space="preserve">sina de </w:t>
      </w:r>
      <w:r w:rsidRPr="00220629">
        <w:rPr>
          <w:rFonts w:ascii="Verdana" w:hAnsi="Verdana" w:cs="Arial"/>
          <w:sz w:val="18"/>
          <w:szCs w:val="18"/>
        </w:rPr>
        <w:t>R</w:t>
      </w:r>
      <w:r>
        <w:rPr>
          <w:rFonts w:ascii="Verdana" w:hAnsi="Verdana" w:cs="Arial"/>
          <w:sz w:val="18"/>
          <w:szCs w:val="18"/>
        </w:rPr>
        <w:t xml:space="preserve">ecuperação </w:t>
      </w:r>
      <w:r w:rsidRPr="00220629">
        <w:rPr>
          <w:rFonts w:ascii="Verdana" w:hAnsi="Verdana" w:cs="Arial"/>
          <w:sz w:val="18"/>
          <w:szCs w:val="18"/>
        </w:rPr>
        <w:t>E</w:t>
      </w:r>
      <w:r>
        <w:rPr>
          <w:rFonts w:ascii="Verdana" w:hAnsi="Verdana" w:cs="Arial"/>
          <w:sz w:val="18"/>
          <w:szCs w:val="18"/>
        </w:rPr>
        <w:t>nergética</w:t>
      </w:r>
    </w:p>
    <w:p w14:paraId="38F75D4E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b) Eficiência energética</w:t>
      </w:r>
    </w:p>
    <w:p w14:paraId="04C35102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c) Controle ambiental</w:t>
      </w:r>
    </w:p>
    <w:p w14:paraId="54075AC5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d) Gestão de resíduos e rejeitos</w:t>
      </w:r>
    </w:p>
    <w:p w14:paraId="39321561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e) Disponibilidade operacional</w:t>
      </w:r>
    </w:p>
    <w:p w14:paraId="516AED99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f) Atendimento a condicionantes</w:t>
      </w:r>
    </w:p>
    <w:p w14:paraId="0E29EBBD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g) Conformidade documental</w:t>
      </w:r>
    </w:p>
    <w:p w14:paraId="79456D60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h) Indicadores econômicos</w:t>
      </w:r>
    </w:p>
    <w:p w14:paraId="7781F328" w14:textId="77777777" w:rsidR="00DE1556" w:rsidRPr="00220629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4F5A4C54" w14:textId="77777777" w:rsidR="00DE1556" w:rsidRPr="00DB504B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r w:rsidRPr="00DB504B">
        <w:rPr>
          <w:rFonts w:ascii="Verdana" w:hAnsi="Verdana"/>
          <w:i w:val="0"/>
          <w:iCs w:val="0"/>
          <w:sz w:val="24"/>
          <w:szCs w:val="24"/>
        </w:rPr>
        <w:t>10. DISPOSIÇÕES FINAIS</w:t>
      </w:r>
    </w:p>
    <w:p w14:paraId="562F03A9" w14:textId="77777777" w:rsidR="00DE1556" w:rsidRPr="00220629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Todos os dispositivos deste Caderno são vinculantes ao contrato da PPP.</w:t>
      </w:r>
    </w:p>
    <w:p w14:paraId="64AC5FBB" w14:textId="77777777" w:rsidR="00DE1556" w:rsidRPr="00220629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Normas supervenientes mais restritivas prevalecerão.</w:t>
      </w:r>
    </w:p>
    <w:p w14:paraId="43E17402" w14:textId="77777777" w:rsidR="00DE1556" w:rsidRDefault="00DE1556" w:rsidP="00DE15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20629">
        <w:rPr>
          <w:rFonts w:ascii="Verdana" w:hAnsi="Verdana" w:cs="Arial"/>
          <w:sz w:val="18"/>
          <w:szCs w:val="18"/>
        </w:rPr>
        <w:t>Em caso de contradição entre anexos, prevalecerá a interpretação mais favorável ao interesse público e à sustentabilidade.</w:t>
      </w:r>
    </w:p>
    <w:p w14:paraId="3B2C39DB" w14:textId="77777777" w:rsidR="00DE1556" w:rsidRDefault="00DE1556" w:rsidP="00DE1556">
      <w:pPr>
        <w:spacing w:line="360" w:lineRule="auto"/>
        <w:ind w:right="-709"/>
        <w:jc w:val="both"/>
        <w:rPr>
          <w:rFonts w:ascii="Verdana" w:hAnsi="Verdana" w:cs="Arial"/>
          <w:sz w:val="18"/>
          <w:szCs w:val="18"/>
        </w:rPr>
      </w:pPr>
    </w:p>
    <w:p w14:paraId="6CAF5EB6" w14:textId="6A7C8A6C" w:rsidR="00E840F2" w:rsidRPr="00D07BBE" w:rsidRDefault="00DE1556" w:rsidP="00DE1556">
      <w:pPr>
        <w:pStyle w:val="Ttulo2"/>
        <w:rPr>
          <w:rFonts w:ascii="Verdana" w:hAnsi="Verdana"/>
          <w:i w:val="0"/>
          <w:iCs w:val="0"/>
          <w:sz w:val="24"/>
          <w:szCs w:val="24"/>
        </w:rPr>
      </w:pPr>
      <w:bookmarkStart w:id="25" w:name="_Toc207895419"/>
      <w:r>
        <w:rPr>
          <w:rFonts w:ascii="Verdana" w:hAnsi="Verdana"/>
          <w:i w:val="0"/>
          <w:iCs w:val="0"/>
          <w:sz w:val="24"/>
          <w:szCs w:val="24"/>
        </w:rPr>
        <w:t>11</w:t>
      </w:r>
      <w:r w:rsidR="00FA5D1E" w:rsidRPr="00D07BBE">
        <w:rPr>
          <w:rFonts w:ascii="Verdana" w:hAnsi="Verdana"/>
          <w:i w:val="0"/>
          <w:iCs w:val="0"/>
          <w:sz w:val="24"/>
          <w:szCs w:val="24"/>
        </w:rPr>
        <w:t xml:space="preserve">. </w:t>
      </w:r>
      <w:r w:rsidR="00E840F2" w:rsidRPr="00D07BBE">
        <w:rPr>
          <w:rFonts w:ascii="Verdana" w:hAnsi="Verdana"/>
          <w:i w:val="0"/>
          <w:iCs w:val="0"/>
          <w:sz w:val="24"/>
          <w:szCs w:val="24"/>
        </w:rPr>
        <w:t>ANEXOS</w:t>
      </w:r>
      <w:bookmarkEnd w:id="25"/>
    </w:p>
    <w:p w14:paraId="1613A862" w14:textId="77777777" w:rsidR="00E840F2" w:rsidRPr="00E53AB3" w:rsidRDefault="00E840F2" w:rsidP="00E840F2">
      <w:pPr>
        <w:spacing w:after="240" w:line="300" w:lineRule="auto"/>
        <w:rPr>
          <w:rFonts w:ascii="Verdana" w:eastAsia="Aptos" w:hAnsi="Verdana"/>
          <w:kern w:val="2"/>
          <w:sz w:val="18"/>
          <w:szCs w:val="18"/>
          <w14:ligatures w14:val="standardContextual"/>
        </w:rPr>
      </w:pPr>
    </w:p>
    <w:p w14:paraId="49AE1468" w14:textId="6C31D760" w:rsidR="0086218B" w:rsidRPr="00E53AB3" w:rsidRDefault="00E840F2" w:rsidP="00A31010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</w:t>
      </w:r>
      <w:r w:rsidR="00A31010"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 xml:space="preserve"> - </w:t>
      </w:r>
      <w:r w:rsidR="00F068B1"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 xml:space="preserve">Minuta </w:t>
      </w: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d</w:t>
      </w:r>
      <w:r w:rsidR="00A31010"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e</w:t>
      </w: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 xml:space="preserve"> Edital</w:t>
      </w:r>
    </w:p>
    <w:p w14:paraId="29C01766" w14:textId="77777777" w:rsidR="00A31010" w:rsidRPr="00E53AB3" w:rsidRDefault="00A31010" w:rsidP="00A31010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I.1 – Modelo de Carta de Credenciamento</w:t>
      </w:r>
    </w:p>
    <w:p w14:paraId="7EEDE687" w14:textId="6E92F7ED" w:rsidR="00F43125" w:rsidRPr="00E53AB3" w:rsidRDefault="00A31010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I.2 – Modelo de Declaração de Emprego de Menor</w:t>
      </w:r>
    </w:p>
    <w:p w14:paraId="718B54D4" w14:textId="4B887A7A" w:rsidR="00F43125" w:rsidRPr="00E53AB3" w:rsidRDefault="00F43125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 – Termo de referência</w:t>
      </w:r>
    </w:p>
    <w:p w14:paraId="2CD00D34" w14:textId="6DA23A76" w:rsidR="00F43125" w:rsidRPr="00E53AB3" w:rsidRDefault="00F43125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II.1 – Diretrizes Plano de Trabalho</w:t>
      </w:r>
    </w:p>
    <w:p w14:paraId="21C28853" w14:textId="7CEDB3E3" w:rsidR="00F43125" w:rsidRPr="00E53AB3" w:rsidRDefault="00F43125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lastRenderedPageBreak/>
        <w:t>Anexo II.2 – Das Tecnologias Aplicadas</w:t>
      </w:r>
    </w:p>
    <w:p w14:paraId="1692D12F" w14:textId="6A2AB926" w:rsidR="00F43125" w:rsidRPr="00E53AB3" w:rsidRDefault="00F43125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II.3 – Diretrizes Tratamento e Aproveitamento Energético dos Resíduos Sólidos Mediante a Aplicação das Rotas de Gaseificação / Pirólise e Biodigestão</w:t>
      </w:r>
    </w:p>
    <w:p w14:paraId="20A9B456" w14:textId="2613AA8D" w:rsidR="00F43125" w:rsidRPr="00E53AB3" w:rsidRDefault="00F43125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II.4 – Diretrizes</w:t>
      </w:r>
      <w:r w:rsidR="003A4371"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 xml:space="preserve"> Ambientais Básicas</w:t>
      </w:r>
    </w:p>
    <w:p w14:paraId="400C5276" w14:textId="617497A0" w:rsidR="003A4371" w:rsidRPr="00E53AB3" w:rsidRDefault="003A4371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II.5 – Do Programa de Monitoramento Ambiental de Águas Subterrâneas e Ar do Solo</w:t>
      </w:r>
    </w:p>
    <w:p w14:paraId="7EE171D8" w14:textId="3F16F3C7" w:rsidR="003A4371" w:rsidRPr="00E53AB3" w:rsidRDefault="003A4371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II.6 – Das Metas e Obrigações da Concessão Administrativa e Indicadores de Desempenho</w:t>
      </w:r>
    </w:p>
    <w:p w14:paraId="0D1044EA" w14:textId="1AC17AE1" w:rsidR="003A4371" w:rsidRPr="00E53AB3" w:rsidRDefault="003A4371" w:rsidP="003A4371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III – Minuta do Contrato</w:t>
      </w:r>
    </w:p>
    <w:p w14:paraId="1640A902" w14:textId="4EBEDA38" w:rsidR="003A4371" w:rsidRPr="00E53AB3" w:rsidRDefault="003A4371" w:rsidP="00F43125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III.1 – Lista de Bens Reversíveis</w:t>
      </w:r>
    </w:p>
    <w:p w14:paraId="6D2C4AA2" w14:textId="62E92BD3" w:rsidR="00F43125" w:rsidRPr="00E53AB3" w:rsidRDefault="003A4371" w:rsidP="00A31010">
      <w:pPr>
        <w:spacing w:after="240" w:line="300" w:lineRule="auto"/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</w:pPr>
      <w:r w:rsidRPr="00E53AB3">
        <w:rPr>
          <w:rFonts w:ascii="Verdana" w:eastAsia="Aptos" w:hAnsi="Verdana"/>
          <w:b/>
          <w:bCs/>
          <w:kern w:val="2"/>
          <w:sz w:val="18"/>
          <w:szCs w:val="18"/>
          <w14:ligatures w14:val="standardContextual"/>
        </w:rPr>
        <w:t>Anexo III.2 – Matriz de Risco</w:t>
      </w:r>
    </w:p>
    <w:p w14:paraId="3AB98C95" w14:textId="63CEDA85" w:rsidR="00E840F2" w:rsidRPr="00FA5D1E" w:rsidRDefault="00E840F2" w:rsidP="00E840F2">
      <w:pPr>
        <w:rPr>
          <w:rFonts w:ascii="Verdana" w:hAnsi="Verdana" w:cs="Arial"/>
          <w:sz w:val="18"/>
          <w:szCs w:val="18"/>
        </w:rPr>
      </w:pPr>
    </w:p>
    <w:p w14:paraId="6A9ECD9E" w14:textId="77777777" w:rsidR="00733EB5" w:rsidRPr="00733EB5" w:rsidRDefault="00733EB5" w:rsidP="00733EB5">
      <w:pPr>
        <w:rPr>
          <w:rFonts w:ascii="Verdana" w:hAnsi="Verdana" w:cs="Arial"/>
          <w:b/>
          <w:sz w:val="18"/>
          <w:szCs w:val="18"/>
        </w:rPr>
      </w:pPr>
      <w:r w:rsidRPr="00733EB5">
        <w:rPr>
          <w:rFonts w:ascii="Verdana" w:hAnsi="Verdana" w:cs="Arial"/>
          <w:b/>
          <w:sz w:val="18"/>
          <w:szCs w:val="18"/>
        </w:rPr>
        <w:t>TERMO DE ENCERRAMENTO</w:t>
      </w:r>
    </w:p>
    <w:p w14:paraId="69430E66" w14:textId="5665BFB2" w:rsidR="00733EB5" w:rsidRPr="00733EB5" w:rsidRDefault="00733EB5" w:rsidP="00733EB5">
      <w:pPr>
        <w:rPr>
          <w:rFonts w:ascii="Verdana" w:hAnsi="Verdana" w:cs="Arial"/>
          <w:sz w:val="18"/>
          <w:szCs w:val="18"/>
        </w:rPr>
      </w:pPr>
      <w:r w:rsidRPr="00733EB5">
        <w:rPr>
          <w:rFonts w:ascii="Verdana" w:hAnsi="Verdana" w:cs="Arial"/>
          <w:sz w:val="18"/>
          <w:szCs w:val="18"/>
        </w:rPr>
        <w:t>Este Termo encerra CADERNO II</w:t>
      </w:r>
      <w:r>
        <w:rPr>
          <w:rFonts w:ascii="Verdana" w:hAnsi="Verdana" w:cs="Arial"/>
          <w:sz w:val="18"/>
          <w:szCs w:val="18"/>
        </w:rPr>
        <w:t>I</w:t>
      </w:r>
      <w:r w:rsidRPr="00733EB5">
        <w:rPr>
          <w:rFonts w:ascii="Verdana" w:hAnsi="Verdana" w:cs="Arial"/>
          <w:sz w:val="18"/>
          <w:szCs w:val="18"/>
        </w:rPr>
        <w:t xml:space="preserve"> – MODELAGEM </w:t>
      </w:r>
      <w:r>
        <w:rPr>
          <w:rFonts w:ascii="Verdana" w:hAnsi="Verdana" w:cs="Arial"/>
          <w:sz w:val="18"/>
          <w:szCs w:val="18"/>
        </w:rPr>
        <w:t>JURÍDICA</w:t>
      </w:r>
      <w:r w:rsidRPr="00733EB5">
        <w:rPr>
          <w:rFonts w:ascii="Verdana" w:hAnsi="Verdana" w:cs="Arial"/>
          <w:sz w:val="18"/>
          <w:szCs w:val="18"/>
        </w:rPr>
        <w:t>, obedecendo às especificações técnicas constantes do Edital.</w:t>
      </w:r>
    </w:p>
    <w:p w14:paraId="3B1BF31B" w14:textId="6BDAF81B" w:rsidR="00733EB5" w:rsidRPr="00733EB5" w:rsidRDefault="00733EB5" w:rsidP="00733EB5">
      <w:pPr>
        <w:rPr>
          <w:rFonts w:ascii="Verdana" w:hAnsi="Verdana" w:cs="Arial"/>
          <w:sz w:val="18"/>
          <w:szCs w:val="18"/>
        </w:rPr>
      </w:pPr>
      <w:r w:rsidRPr="00733EB5">
        <w:rPr>
          <w:rFonts w:ascii="Verdana" w:hAnsi="Verdana" w:cs="Arial"/>
          <w:sz w:val="18"/>
          <w:szCs w:val="18"/>
        </w:rPr>
        <w:t xml:space="preserve">Este caderno possui </w:t>
      </w:r>
      <w:r>
        <w:rPr>
          <w:rFonts w:ascii="Verdana" w:hAnsi="Verdana" w:cs="Arial"/>
          <w:sz w:val="18"/>
          <w:szCs w:val="18"/>
        </w:rPr>
        <w:t>1</w:t>
      </w:r>
      <w:r w:rsidR="004C0DB4">
        <w:rPr>
          <w:rFonts w:ascii="Verdana" w:hAnsi="Verdana" w:cs="Arial"/>
          <w:sz w:val="18"/>
          <w:szCs w:val="18"/>
        </w:rPr>
        <w:t>6</w:t>
      </w:r>
      <w:r w:rsidRPr="00733EB5">
        <w:rPr>
          <w:rFonts w:ascii="Verdana" w:hAnsi="Verdana" w:cs="Arial"/>
          <w:sz w:val="18"/>
          <w:szCs w:val="18"/>
        </w:rPr>
        <w:t xml:space="preserve"> (</w:t>
      </w:r>
      <w:r w:rsidR="004C0DB4" w:rsidRPr="004C0DB4">
        <w:rPr>
          <w:rFonts w:ascii="Verdana" w:hAnsi="Verdana" w:cs="Arial"/>
          <w:sz w:val="18"/>
          <w:szCs w:val="18"/>
        </w:rPr>
        <w:t>dezesseis</w:t>
      </w:r>
      <w:r w:rsidRPr="00733EB5">
        <w:rPr>
          <w:rFonts w:ascii="Verdana" w:hAnsi="Verdana" w:cs="Arial"/>
          <w:sz w:val="18"/>
          <w:szCs w:val="18"/>
        </w:rPr>
        <w:t xml:space="preserve">) páginas, numeradas sequencialmente de 1 a </w:t>
      </w:r>
      <w:r>
        <w:rPr>
          <w:rFonts w:ascii="Verdana" w:hAnsi="Verdana" w:cs="Arial"/>
          <w:sz w:val="18"/>
          <w:szCs w:val="18"/>
        </w:rPr>
        <w:t>1</w:t>
      </w:r>
      <w:r w:rsidR="004C0DB4">
        <w:rPr>
          <w:rFonts w:ascii="Verdana" w:hAnsi="Verdana" w:cs="Arial"/>
          <w:sz w:val="18"/>
          <w:szCs w:val="18"/>
        </w:rPr>
        <w:t>6.</w:t>
      </w:r>
    </w:p>
    <w:p w14:paraId="44FB931F" w14:textId="26431B3D" w:rsidR="00F43125" w:rsidRDefault="00F43125" w:rsidP="00E840F2">
      <w:pPr>
        <w:rPr>
          <w:rFonts w:ascii="Verdana" w:hAnsi="Verdana" w:cs="Arial"/>
          <w:sz w:val="18"/>
          <w:szCs w:val="18"/>
        </w:rPr>
      </w:pPr>
    </w:p>
    <w:sectPr w:rsidR="00F43125" w:rsidSect="00D018F7">
      <w:headerReference w:type="default" r:id="rId9"/>
      <w:footerReference w:type="default" r:id="rId10"/>
      <w:pgSz w:w="11907" w:h="16840" w:code="9"/>
      <w:pgMar w:top="1436" w:right="1275" w:bottom="1584" w:left="1985" w:header="677" w:footer="67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694F3" w14:textId="77777777" w:rsidR="00794D07" w:rsidRDefault="00794D07">
      <w:r>
        <w:separator/>
      </w:r>
    </w:p>
  </w:endnote>
  <w:endnote w:type="continuationSeparator" w:id="0">
    <w:p w14:paraId="6A996A58" w14:textId="77777777" w:rsidR="00794D07" w:rsidRDefault="007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sphimer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antGarde Bk B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A4FCF" w14:textId="77777777" w:rsidR="009433A3" w:rsidRDefault="009433A3" w:rsidP="009433A3">
    <w:pPr>
      <w:pStyle w:val="Rodap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tbl>
    <w:tblPr>
      <w:tblW w:w="8647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28"/>
      <w:gridCol w:w="3088"/>
      <w:gridCol w:w="1238"/>
      <w:gridCol w:w="2693"/>
    </w:tblGrid>
    <w:tr w:rsidR="009433A3" w14:paraId="5A6CAA49" w14:textId="77777777" w:rsidTr="002827BA">
      <w:trPr>
        <w:trHeight w:val="159"/>
      </w:trPr>
      <w:tc>
        <w:tcPr>
          <w:tcW w:w="8647" w:type="dxa"/>
          <w:gridSpan w:val="4"/>
        </w:tcPr>
        <w:sdt>
          <w:sdtPr>
            <w:rPr>
              <w:rFonts w:ascii="Verdana" w:hAnsi="Verdana"/>
              <w:sz w:val="10"/>
              <w:szCs w:val="10"/>
            </w:rPr>
            <w:id w:val="1031378414"/>
            <w:docPartObj>
              <w:docPartGallery w:val="Page Numbers (Bottom of Page)"/>
              <w:docPartUnique/>
            </w:docPartObj>
          </w:sdtPr>
          <w:sdtEndPr/>
          <w:sdtContent>
            <w:p w14:paraId="30647172" w14:textId="424EB850" w:rsidR="009433A3" w:rsidRDefault="009433A3" w:rsidP="009433A3">
              <w:pPr>
                <w:pStyle w:val="Rodap"/>
                <w:rPr>
                  <w:rFonts w:ascii="Verdana" w:hAnsi="Verdana"/>
                  <w:sz w:val="10"/>
                  <w:szCs w:val="10"/>
                </w:rPr>
              </w:pPr>
              <w:r w:rsidRPr="00705A5E">
                <w:rPr>
                  <w:rFonts w:ascii="Verdana" w:hAnsi="Verdana"/>
                  <w:sz w:val="10"/>
                  <w:szCs w:val="10"/>
                </w:rPr>
                <w:t xml:space="preserve">PROJETO </w:t>
              </w:r>
              <w:r>
                <w:rPr>
                  <w:rFonts w:ascii="Verdana" w:hAnsi="Verdana"/>
                  <w:sz w:val="10"/>
                  <w:szCs w:val="10"/>
                </w:rPr>
                <w:t>439.2933.25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CADERNO I</w:t>
              </w:r>
              <w:r>
                <w:rPr>
                  <w:rFonts w:ascii="Verdana" w:hAnsi="Verdana"/>
                  <w:sz w:val="10"/>
                  <w:szCs w:val="10"/>
                </w:rPr>
                <w:t>II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MODELAGEM </w:t>
              </w:r>
              <w:r>
                <w:rPr>
                  <w:rFonts w:ascii="Verdana" w:hAnsi="Verdana"/>
                  <w:sz w:val="10"/>
                  <w:szCs w:val="10"/>
                </w:rPr>
                <w:t xml:space="preserve">JURÍDICA </w:t>
              </w:r>
              <w:r w:rsidRPr="00705A5E">
                <w:rPr>
                  <w:rFonts w:ascii="Verdana" w:hAnsi="Verdana"/>
                  <w:sz w:val="10"/>
                  <w:szCs w:val="10"/>
                </w:rPr>
                <w:t xml:space="preserve"> </w:t>
              </w:r>
              <w:r>
                <w:rPr>
                  <w:rFonts w:ascii="Verdana" w:hAnsi="Verdana"/>
                  <w:sz w:val="10"/>
                  <w:szCs w:val="10"/>
                </w:rPr>
                <w:t xml:space="preserve">                             </w:t>
              </w:r>
              <w:r w:rsidR="00F72760">
                <w:rPr>
                  <w:rFonts w:ascii="Verdana" w:hAnsi="Verdana"/>
                  <w:sz w:val="10"/>
                  <w:szCs w:val="10"/>
                </w:rPr>
                <w:t xml:space="preserve">                                   </w:t>
              </w:r>
              <w:r>
                <w:rPr>
                  <w:rFonts w:ascii="Verdana" w:hAnsi="Verdana"/>
                  <w:sz w:val="10"/>
                  <w:szCs w:val="10"/>
                </w:rPr>
                <w:t xml:space="preserve">                                                                                  134</w:t>
              </w:r>
            </w:p>
            <w:p w14:paraId="1860F390" w14:textId="77777777" w:rsidR="009433A3" w:rsidRPr="00705A5E" w:rsidRDefault="009433A3" w:rsidP="009433A3">
              <w:pPr>
                <w:pStyle w:val="Rodap"/>
                <w:rPr>
                  <w:rFonts w:ascii="Verdana" w:hAnsi="Verdana"/>
                  <w:sz w:val="10"/>
                  <w:szCs w:val="10"/>
                </w:rPr>
              </w:pPr>
              <w:r>
                <w:rPr>
                  <w:rFonts w:ascii="Verdana" w:hAnsi="Verdana"/>
                  <w:sz w:val="10"/>
                  <w:szCs w:val="10"/>
                </w:rPr>
                <w:t>ATUALIZAÇÃO PMI SMALP 001 2017 PMGIRS 9278 25 URE GSF PRLS BAO</w:t>
              </w:r>
            </w:p>
          </w:sdtContent>
        </w:sdt>
      </w:tc>
    </w:tr>
    <w:tr w:rsidR="009433A3" w14:paraId="6E9E68AC" w14:textId="77777777" w:rsidTr="002827BA">
      <w:trPr>
        <w:trHeight w:val="140"/>
      </w:trPr>
      <w:tc>
        <w:tcPr>
          <w:tcW w:w="1628" w:type="dxa"/>
        </w:tcPr>
        <w:p w14:paraId="15CD9D98" w14:textId="77777777" w:rsidR="009433A3" w:rsidRPr="00705A5E" w:rsidRDefault="009433A3" w:rsidP="009433A3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3088" w:type="dxa"/>
        </w:tcPr>
        <w:p w14:paraId="0C23995A" w14:textId="77777777" w:rsidR="009433A3" w:rsidRPr="00705A5E" w:rsidRDefault="009433A3" w:rsidP="009433A3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1238" w:type="dxa"/>
        </w:tcPr>
        <w:p w14:paraId="4CBECFF6" w14:textId="77777777" w:rsidR="009433A3" w:rsidRPr="00705A5E" w:rsidRDefault="009433A3" w:rsidP="009433A3">
          <w:pPr>
            <w:pStyle w:val="Rodap"/>
            <w:rPr>
              <w:rFonts w:ascii="Verdana" w:hAnsi="Verdana"/>
              <w:sz w:val="10"/>
              <w:szCs w:val="10"/>
            </w:rPr>
          </w:pPr>
        </w:p>
      </w:tc>
      <w:tc>
        <w:tcPr>
          <w:tcW w:w="2693" w:type="dxa"/>
        </w:tcPr>
        <w:p w14:paraId="4F3CE808" w14:textId="62C7EDBA" w:rsidR="009433A3" w:rsidRPr="00705A5E" w:rsidRDefault="009433A3" w:rsidP="009433A3">
          <w:pPr>
            <w:pStyle w:val="Rodap"/>
            <w:rPr>
              <w:rFonts w:ascii="Verdana" w:hAnsi="Verdana"/>
              <w:sz w:val="10"/>
              <w:szCs w:val="10"/>
            </w:rPr>
          </w:pPr>
          <w:r w:rsidRPr="00705A5E">
            <w:rPr>
              <w:rFonts w:ascii="Verdana" w:hAnsi="Verdana"/>
              <w:sz w:val="10"/>
              <w:szCs w:val="10"/>
            </w:rPr>
            <w:t>VERSÃO 0</w:t>
          </w:r>
          <w:r w:rsidR="00F72760">
            <w:rPr>
              <w:rFonts w:ascii="Verdana" w:hAnsi="Verdana"/>
              <w:sz w:val="10"/>
              <w:szCs w:val="10"/>
            </w:rPr>
            <w:t>5</w:t>
          </w:r>
          <w:r w:rsidRPr="00705A5E">
            <w:rPr>
              <w:rFonts w:ascii="Verdana" w:hAnsi="Verdana"/>
              <w:sz w:val="10"/>
              <w:szCs w:val="10"/>
            </w:rPr>
            <w:t xml:space="preserve">_2025, </w:t>
          </w:r>
          <w:r w:rsidR="00F72760">
            <w:rPr>
              <w:rFonts w:ascii="Verdana" w:hAnsi="Verdana"/>
              <w:sz w:val="10"/>
              <w:szCs w:val="10"/>
            </w:rPr>
            <w:t>1</w:t>
          </w:r>
          <w:r w:rsidR="00945877">
            <w:rPr>
              <w:rFonts w:ascii="Verdana" w:hAnsi="Verdana"/>
              <w:sz w:val="10"/>
              <w:szCs w:val="10"/>
            </w:rPr>
            <w:t>8</w:t>
          </w:r>
          <w:r w:rsidRPr="00705A5E">
            <w:rPr>
              <w:rFonts w:ascii="Verdana" w:hAnsi="Verdana"/>
              <w:sz w:val="10"/>
              <w:szCs w:val="10"/>
            </w:rPr>
            <w:t xml:space="preserve"> </w:t>
          </w:r>
          <w:r w:rsidR="00F72760">
            <w:rPr>
              <w:rFonts w:ascii="Verdana" w:hAnsi="Verdana"/>
              <w:sz w:val="10"/>
              <w:szCs w:val="10"/>
            </w:rPr>
            <w:t>DEZE</w:t>
          </w:r>
          <w:r>
            <w:rPr>
              <w:rFonts w:ascii="Verdana" w:hAnsi="Verdana"/>
              <w:sz w:val="10"/>
              <w:szCs w:val="10"/>
            </w:rPr>
            <w:t>MBRO</w:t>
          </w:r>
          <w:r w:rsidRPr="00705A5E">
            <w:rPr>
              <w:rFonts w:ascii="Verdana" w:hAnsi="Verdana"/>
              <w:sz w:val="10"/>
              <w:szCs w:val="10"/>
            </w:rPr>
            <w:t xml:space="preserve"> 2025</w:t>
          </w:r>
        </w:p>
      </w:tc>
    </w:tr>
  </w:tbl>
  <w:p w14:paraId="12E1ECC1" w14:textId="77777777" w:rsidR="009433A3" w:rsidRPr="009433A3" w:rsidRDefault="009433A3" w:rsidP="009433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99DF" w14:textId="77777777" w:rsidR="00794D07" w:rsidRDefault="00794D07">
      <w:r>
        <w:separator/>
      </w:r>
    </w:p>
  </w:footnote>
  <w:footnote w:type="continuationSeparator" w:id="0">
    <w:p w14:paraId="298F36EA" w14:textId="77777777" w:rsidR="00794D07" w:rsidRDefault="00794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8A651" w14:textId="57819E9F" w:rsidR="00D018F7" w:rsidRDefault="000D3D33" w:rsidP="00D018F7">
    <w:bookmarkStart w:id="26" w:name="_Hlk207701088"/>
    <w:bookmarkStart w:id="27" w:name="_Hlk207701089"/>
    <w:r w:rsidRPr="000D3D33">
      <w:rPr>
        <w:noProof/>
      </w:rPr>
      <w:drawing>
        <wp:inline distT="0" distB="0" distL="0" distR="0" wp14:anchorId="22AF2FC7" wp14:editId="5F3EEA1A">
          <wp:extent cx="5490845" cy="482600"/>
          <wp:effectExtent l="0" t="0" r="0" b="0"/>
          <wp:docPr id="26" name="Imagem 25">
            <a:extLst xmlns:a="http://schemas.openxmlformats.org/drawingml/2006/main">
              <a:ext uri="{FF2B5EF4-FFF2-40B4-BE49-F238E27FC236}">
                <a16:creationId xmlns:a16="http://schemas.microsoft.com/office/drawing/2014/main" id="{3848EC58-D2CF-93E9-3B77-8058FF1167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m 25">
                    <a:extLst>
                      <a:ext uri="{FF2B5EF4-FFF2-40B4-BE49-F238E27FC236}">
                        <a16:creationId xmlns:a16="http://schemas.microsoft.com/office/drawing/2014/main" id="{3848EC58-D2CF-93E9-3B77-8058FF1167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82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A165DD" w14:textId="77777777" w:rsidR="00D018F7" w:rsidRDefault="00D018F7" w:rsidP="00D018F7">
    <w:pPr>
      <w:pStyle w:val="Cabealho"/>
      <w:ind w:right="-794"/>
      <w:jc w:val="right"/>
      <w:rPr>
        <w:rFonts w:ascii="Verdana" w:hAnsi="Verdana"/>
        <w:b/>
        <w:color w:val="17365D"/>
        <w:sz w:val="9"/>
        <w:szCs w:val="9"/>
      </w:rPr>
    </w:pPr>
  </w:p>
  <w:p w14:paraId="22CDB39E" w14:textId="77777777" w:rsidR="00D018F7" w:rsidRDefault="00D018F7" w:rsidP="00D018F7">
    <w:pPr>
      <w:pStyle w:val="Cabealho"/>
      <w:rPr>
        <w:rFonts w:ascii="AvantGarde Bk BT" w:hAnsi="AvantGarde Bk BT"/>
        <w:sz w:val="16"/>
        <w:szCs w:val="16"/>
        <w:lang w:val="de-DE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84BA1FE" wp14:editId="68927E43">
              <wp:simplePos x="0" y="0"/>
              <wp:positionH relativeFrom="column">
                <wp:posOffset>360595</wp:posOffset>
              </wp:positionH>
              <wp:positionV relativeFrom="paragraph">
                <wp:posOffset>41872</wp:posOffset>
              </wp:positionV>
              <wp:extent cx="5216458" cy="0"/>
              <wp:effectExtent l="0" t="0" r="0" b="0"/>
              <wp:wrapNone/>
              <wp:docPr id="1" name="Conector re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21645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5E3C1E" id="Conector reto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.4pt,3.3pt" to="439.1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"/>
          </w:pict>
        </mc:Fallback>
      </mc:AlternateContent>
    </w:r>
  </w:p>
  <w:tbl>
    <w:tblPr>
      <w:tblW w:w="6062" w:type="dxa"/>
      <w:tblLayout w:type="fixed"/>
      <w:tblLook w:val="04A0" w:firstRow="1" w:lastRow="0" w:firstColumn="1" w:lastColumn="0" w:noHBand="0" w:noVBand="1"/>
    </w:tblPr>
    <w:tblGrid>
      <w:gridCol w:w="3652"/>
      <w:gridCol w:w="2410"/>
    </w:tblGrid>
    <w:tr w:rsidR="00D018F7" w:rsidRPr="00C9761F" w14:paraId="636E659C" w14:textId="77777777" w:rsidTr="002827BA">
      <w:tc>
        <w:tcPr>
          <w:tcW w:w="3652" w:type="dxa"/>
        </w:tcPr>
        <w:p w14:paraId="48707031" w14:textId="77777777" w:rsidR="00D018F7" w:rsidRPr="0069567B" w:rsidRDefault="00D018F7" w:rsidP="00D018F7">
          <w:pPr>
            <w:ind w:right="355"/>
            <w:rPr>
              <w:rFonts w:ascii="Verdana" w:hAnsi="Verdana"/>
              <w:sz w:val="12"/>
              <w:szCs w:val="14"/>
              <w:lang w:val="de-DE"/>
            </w:rPr>
          </w:pPr>
        </w:p>
      </w:tc>
      <w:tc>
        <w:tcPr>
          <w:tcW w:w="2410" w:type="dxa"/>
        </w:tcPr>
        <w:p w14:paraId="1C8CDFB2" w14:textId="77777777" w:rsidR="00D018F7" w:rsidRPr="00807B6B" w:rsidRDefault="00D018F7" w:rsidP="00D018F7">
          <w:pPr>
            <w:pStyle w:val="Cabealho"/>
            <w:rPr>
              <w:rFonts w:ascii="Verdana" w:hAnsi="Verdana"/>
              <w:sz w:val="14"/>
              <w:szCs w:val="14"/>
              <w:lang w:val="de-DE"/>
            </w:rPr>
          </w:pPr>
        </w:p>
      </w:tc>
    </w:tr>
    <w:bookmarkEnd w:id="26"/>
    <w:bookmarkEnd w:id="27"/>
  </w:tbl>
  <w:p w14:paraId="11B89A0D" w14:textId="77777777" w:rsidR="00745C84" w:rsidRPr="00D018F7" w:rsidRDefault="00745C84" w:rsidP="00D018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718CEB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1E00F9A"/>
    <w:multiLevelType w:val="hybridMultilevel"/>
    <w:tmpl w:val="BAF843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63B5"/>
    <w:multiLevelType w:val="hybridMultilevel"/>
    <w:tmpl w:val="9C30595E"/>
    <w:lvl w:ilvl="0" w:tplc="2F403A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C54BE"/>
    <w:multiLevelType w:val="multilevel"/>
    <w:tmpl w:val="741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C65821"/>
    <w:multiLevelType w:val="multilevel"/>
    <w:tmpl w:val="F8A0A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04"/>
        </w:tabs>
        <w:ind w:left="120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07DE73FD"/>
    <w:multiLevelType w:val="hybridMultilevel"/>
    <w:tmpl w:val="8BD2815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025F6"/>
    <w:multiLevelType w:val="hybridMultilevel"/>
    <w:tmpl w:val="208AB6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21998"/>
    <w:multiLevelType w:val="hybridMultilevel"/>
    <w:tmpl w:val="1DFA49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67971"/>
    <w:multiLevelType w:val="hybridMultilevel"/>
    <w:tmpl w:val="8B3A93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E42F0D"/>
    <w:multiLevelType w:val="hybridMultilevel"/>
    <w:tmpl w:val="291C9B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D136F"/>
    <w:multiLevelType w:val="hybridMultilevel"/>
    <w:tmpl w:val="0526FB86"/>
    <w:lvl w:ilvl="0" w:tplc="B87C0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FB7D63"/>
    <w:multiLevelType w:val="hybridMultilevel"/>
    <w:tmpl w:val="0D68AE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15F92"/>
    <w:multiLevelType w:val="hybridMultilevel"/>
    <w:tmpl w:val="831A060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F6A82"/>
    <w:multiLevelType w:val="hybridMultilevel"/>
    <w:tmpl w:val="3CB07BE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5446956"/>
    <w:multiLevelType w:val="hybridMultilevel"/>
    <w:tmpl w:val="927042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E2FBB"/>
    <w:multiLevelType w:val="hybridMultilevel"/>
    <w:tmpl w:val="A8B01648"/>
    <w:lvl w:ilvl="0" w:tplc="FBC09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A6270B"/>
    <w:multiLevelType w:val="multilevel"/>
    <w:tmpl w:val="F17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265DFF"/>
    <w:multiLevelType w:val="hybridMultilevel"/>
    <w:tmpl w:val="15A483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23932"/>
    <w:multiLevelType w:val="hybridMultilevel"/>
    <w:tmpl w:val="062889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6CF5"/>
    <w:multiLevelType w:val="multilevel"/>
    <w:tmpl w:val="95DA6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CB04E8"/>
    <w:multiLevelType w:val="hybridMultilevel"/>
    <w:tmpl w:val="B1FA68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6245D7"/>
    <w:multiLevelType w:val="hybridMultilevel"/>
    <w:tmpl w:val="860618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F7A1D"/>
    <w:multiLevelType w:val="hybridMultilevel"/>
    <w:tmpl w:val="0C22E4A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42CB8"/>
    <w:multiLevelType w:val="hybridMultilevel"/>
    <w:tmpl w:val="42F4EF4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67BA0"/>
    <w:multiLevelType w:val="hybridMultilevel"/>
    <w:tmpl w:val="85A45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54EA7"/>
    <w:multiLevelType w:val="hybridMultilevel"/>
    <w:tmpl w:val="1C703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4154A"/>
    <w:multiLevelType w:val="hybridMultilevel"/>
    <w:tmpl w:val="D5B404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886578"/>
    <w:multiLevelType w:val="hybridMultilevel"/>
    <w:tmpl w:val="9FD2D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221DD"/>
    <w:multiLevelType w:val="hybridMultilevel"/>
    <w:tmpl w:val="E0C809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65345"/>
    <w:multiLevelType w:val="multilevel"/>
    <w:tmpl w:val="8B9A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FD4678"/>
    <w:multiLevelType w:val="hybridMultilevel"/>
    <w:tmpl w:val="7C2ABA3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32A8"/>
    <w:multiLevelType w:val="hybridMultilevel"/>
    <w:tmpl w:val="643252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84B40"/>
    <w:multiLevelType w:val="hybridMultilevel"/>
    <w:tmpl w:val="BA26CC90"/>
    <w:lvl w:ilvl="0" w:tplc="D172B62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FD1BE4"/>
    <w:multiLevelType w:val="hybridMultilevel"/>
    <w:tmpl w:val="49C6AABA"/>
    <w:lvl w:ilvl="0" w:tplc="16006114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Esphimer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A5549"/>
    <w:multiLevelType w:val="hybridMultilevel"/>
    <w:tmpl w:val="75AE0960"/>
    <w:lvl w:ilvl="0" w:tplc="1E4E09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41B4DCB"/>
    <w:multiLevelType w:val="multilevel"/>
    <w:tmpl w:val="77D00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1D16E6"/>
    <w:multiLevelType w:val="hybridMultilevel"/>
    <w:tmpl w:val="335245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2D30C4"/>
    <w:multiLevelType w:val="hybridMultilevel"/>
    <w:tmpl w:val="FBB876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E94697"/>
    <w:multiLevelType w:val="hybridMultilevel"/>
    <w:tmpl w:val="643018D2"/>
    <w:lvl w:ilvl="0" w:tplc="C75ED9D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6A1B9A"/>
    <w:multiLevelType w:val="hybridMultilevel"/>
    <w:tmpl w:val="44A85A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F1266"/>
    <w:multiLevelType w:val="hybridMultilevel"/>
    <w:tmpl w:val="1A688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56AD0"/>
    <w:multiLevelType w:val="hybridMultilevel"/>
    <w:tmpl w:val="AC7E0F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5124A"/>
    <w:multiLevelType w:val="hybridMultilevel"/>
    <w:tmpl w:val="CF4087C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250687"/>
    <w:multiLevelType w:val="hybridMultilevel"/>
    <w:tmpl w:val="984289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D84CF9"/>
    <w:multiLevelType w:val="hybridMultilevel"/>
    <w:tmpl w:val="D3E22BE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107697"/>
    <w:multiLevelType w:val="hybridMultilevel"/>
    <w:tmpl w:val="95020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787CEA"/>
    <w:multiLevelType w:val="hybridMultilevel"/>
    <w:tmpl w:val="D270B6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2073DC"/>
    <w:multiLevelType w:val="hybridMultilevel"/>
    <w:tmpl w:val="C0B8D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8300C"/>
    <w:multiLevelType w:val="multilevel"/>
    <w:tmpl w:val="47E20DB2"/>
    <w:lvl w:ilvl="0">
      <w:start w:val="32"/>
      <w:numFmt w:val="decimal"/>
      <w:lvlText w:val="%1"/>
      <w:lvlJc w:val="left"/>
      <w:pPr>
        <w:ind w:left="1022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22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22" w:hanging="708"/>
      </w:pPr>
      <w:rPr>
        <w:rFonts w:ascii="Verdana" w:eastAsia="Carlito" w:hAnsi="Verdana" w:cs="Carlito" w:hint="default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495" w:hanging="908"/>
      </w:pPr>
      <w:rPr>
        <w:rFonts w:ascii="Carlito" w:eastAsia="Carlito" w:hAnsi="Carlito" w:cs="Carlito" w:hint="default"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895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0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9" w:hanging="908"/>
      </w:pPr>
      <w:rPr>
        <w:rFonts w:hint="default"/>
        <w:lang w:val="pt-PT" w:eastAsia="en-US" w:bidi="ar-SA"/>
      </w:rPr>
    </w:lvl>
  </w:abstractNum>
  <w:num w:numId="1" w16cid:durableId="2083335394">
    <w:abstractNumId w:val="5"/>
  </w:num>
  <w:num w:numId="2" w16cid:durableId="1349915843">
    <w:abstractNumId w:val="28"/>
  </w:num>
  <w:num w:numId="3" w16cid:durableId="361782601">
    <w:abstractNumId w:val="39"/>
  </w:num>
  <w:num w:numId="4" w16cid:durableId="388766337">
    <w:abstractNumId w:val="26"/>
  </w:num>
  <w:num w:numId="5" w16cid:durableId="825245972">
    <w:abstractNumId w:val="42"/>
  </w:num>
  <w:num w:numId="6" w16cid:durableId="1238902535">
    <w:abstractNumId w:val="7"/>
  </w:num>
  <w:num w:numId="7" w16cid:durableId="1500995729">
    <w:abstractNumId w:val="0"/>
  </w:num>
  <w:num w:numId="8" w16cid:durableId="569193097">
    <w:abstractNumId w:val="49"/>
  </w:num>
  <w:num w:numId="9" w16cid:durableId="1106467429">
    <w:abstractNumId w:val="22"/>
  </w:num>
  <w:num w:numId="10" w16cid:durableId="184216345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724138722">
    <w:abstractNumId w:val="12"/>
  </w:num>
  <w:num w:numId="12" w16cid:durableId="1702244245">
    <w:abstractNumId w:val="23"/>
  </w:num>
  <w:num w:numId="13" w16cid:durableId="1817337614">
    <w:abstractNumId w:val="14"/>
  </w:num>
  <w:num w:numId="14" w16cid:durableId="1251547214">
    <w:abstractNumId w:val="43"/>
  </w:num>
  <w:num w:numId="15" w16cid:durableId="133181310">
    <w:abstractNumId w:val="15"/>
  </w:num>
  <w:num w:numId="16" w16cid:durableId="1293747189">
    <w:abstractNumId w:val="36"/>
  </w:num>
  <w:num w:numId="17" w16cid:durableId="1439981669">
    <w:abstractNumId w:val="37"/>
  </w:num>
  <w:num w:numId="18" w16cid:durableId="1855068426">
    <w:abstractNumId w:val="25"/>
  </w:num>
  <w:num w:numId="19" w16cid:durableId="179517481">
    <w:abstractNumId w:val="18"/>
  </w:num>
  <w:num w:numId="20" w16cid:durableId="509368245">
    <w:abstractNumId w:val="9"/>
  </w:num>
  <w:num w:numId="21" w16cid:durableId="1295015988">
    <w:abstractNumId w:val="41"/>
  </w:num>
  <w:num w:numId="22" w16cid:durableId="457333868">
    <w:abstractNumId w:val="44"/>
  </w:num>
  <w:num w:numId="23" w16cid:durableId="1647516090">
    <w:abstractNumId w:val="21"/>
  </w:num>
  <w:num w:numId="24" w16cid:durableId="30352167">
    <w:abstractNumId w:val="17"/>
  </w:num>
  <w:num w:numId="25" w16cid:durableId="1726564625">
    <w:abstractNumId w:val="20"/>
  </w:num>
  <w:num w:numId="26" w16cid:durableId="157623217">
    <w:abstractNumId w:val="4"/>
  </w:num>
  <w:num w:numId="27" w16cid:durableId="1641956224">
    <w:abstractNumId w:val="34"/>
  </w:num>
  <w:num w:numId="28" w16cid:durableId="665087880">
    <w:abstractNumId w:val="19"/>
  </w:num>
  <w:num w:numId="29" w16cid:durableId="1585066582">
    <w:abstractNumId w:val="13"/>
  </w:num>
  <w:num w:numId="30" w16cid:durableId="1232156750">
    <w:abstractNumId w:val="46"/>
  </w:num>
  <w:num w:numId="31" w16cid:durableId="130438288">
    <w:abstractNumId w:val="47"/>
  </w:num>
  <w:num w:numId="32" w16cid:durableId="1972976904">
    <w:abstractNumId w:val="8"/>
  </w:num>
  <w:num w:numId="33" w16cid:durableId="476266809">
    <w:abstractNumId w:val="11"/>
  </w:num>
  <w:num w:numId="34" w16cid:durableId="934437163">
    <w:abstractNumId w:val="38"/>
  </w:num>
  <w:num w:numId="35" w16cid:durableId="1025181578">
    <w:abstractNumId w:val="27"/>
  </w:num>
  <w:num w:numId="36" w16cid:durableId="1349141836">
    <w:abstractNumId w:val="32"/>
  </w:num>
  <w:num w:numId="37" w16cid:durableId="1781337136">
    <w:abstractNumId w:val="31"/>
  </w:num>
  <w:num w:numId="38" w16cid:durableId="903837797">
    <w:abstractNumId w:val="3"/>
  </w:num>
  <w:num w:numId="39" w16cid:durableId="130944561">
    <w:abstractNumId w:val="10"/>
  </w:num>
  <w:num w:numId="40" w16cid:durableId="1177036724">
    <w:abstractNumId w:val="48"/>
  </w:num>
  <w:num w:numId="41" w16cid:durableId="1943761349">
    <w:abstractNumId w:val="29"/>
  </w:num>
  <w:num w:numId="42" w16cid:durableId="1874076149">
    <w:abstractNumId w:val="2"/>
  </w:num>
  <w:num w:numId="43" w16cid:durableId="1212307100">
    <w:abstractNumId w:val="45"/>
  </w:num>
  <w:num w:numId="44" w16cid:durableId="506138344">
    <w:abstractNumId w:val="16"/>
  </w:num>
  <w:num w:numId="45" w16cid:durableId="1488784204">
    <w:abstractNumId w:val="35"/>
  </w:num>
  <w:num w:numId="46" w16cid:durableId="756362575">
    <w:abstractNumId w:val="33"/>
  </w:num>
  <w:num w:numId="47" w16cid:durableId="1230191671">
    <w:abstractNumId w:val="6"/>
  </w:num>
  <w:num w:numId="48" w16cid:durableId="26832099">
    <w:abstractNumId w:val="40"/>
  </w:num>
  <w:num w:numId="49" w16cid:durableId="1321544830">
    <w:abstractNumId w:val="24"/>
  </w:num>
  <w:num w:numId="50" w16cid:durableId="1835292648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08D"/>
    <w:rsid w:val="000012AA"/>
    <w:rsid w:val="00001EE6"/>
    <w:rsid w:val="00003ACD"/>
    <w:rsid w:val="00005E6B"/>
    <w:rsid w:val="00007CDB"/>
    <w:rsid w:val="000100B6"/>
    <w:rsid w:val="00013AE1"/>
    <w:rsid w:val="00015DD6"/>
    <w:rsid w:val="0001773D"/>
    <w:rsid w:val="00022830"/>
    <w:rsid w:val="000232C0"/>
    <w:rsid w:val="00023616"/>
    <w:rsid w:val="00025E88"/>
    <w:rsid w:val="0002775F"/>
    <w:rsid w:val="00027B81"/>
    <w:rsid w:val="000304E6"/>
    <w:rsid w:val="000306E8"/>
    <w:rsid w:val="00030F40"/>
    <w:rsid w:val="0003120E"/>
    <w:rsid w:val="00032628"/>
    <w:rsid w:val="000366E2"/>
    <w:rsid w:val="000378EC"/>
    <w:rsid w:val="0004336A"/>
    <w:rsid w:val="000446BA"/>
    <w:rsid w:val="00046B19"/>
    <w:rsid w:val="00052A8C"/>
    <w:rsid w:val="00052F93"/>
    <w:rsid w:val="00053A4B"/>
    <w:rsid w:val="00053D03"/>
    <w:rsid w:val="00057ADD"/>
    <w:rsid w:val="000609D9"/>
    <w:rsid w:val="00066850"/>
    <w:rsid w:val="000712FE"/>
    <w:rsid w:val="0007170E"/>
    <w:rsid w:val="00074814"/>
    <w:rsid w:val="00076B65"/>
    <w:rsid w:val="00076E21"/>
    <w:rsid w:val="00080A02"/>
    <w:rsid w:val="0008120C"/>
    <w:rsid w:val="00082458"/>
    <w:rsid w:val="0008602D"/>
    <w:rsid w:val="000861CD"/>
    <w:rsid w:val="00086D67"/>
    <w:rsid w:val="00086F53"/>
    <w:rsid w:val="00093620"/>
    <w:rsid w:val="000975C5"/>
    <w:rsid w:val="000A0E55"/>
    <w:rsid w:val="000A2A02"/>
    <w:rsid w:val="000A392A"/>
    <w:rsid w:val="000A4AD0"/>
    <w:rsid w:val="000A5AB8"/>
    <w:rsid w:val="000A6B7C"/>
    <w:rsid w:val="000A6CB7"/>
    <w:rsid w:val="000A6D38"/>
    <w:rsid w:val="000A6F41"/>
    <w:rsid w:val="000C0663"/>
    <w:rsid w:val="000C2C04"/>
    <w:rsid w:val="000C57C8"/>
    <w:rsid w:val="000C60F2"/>
    <w:rsid w:val="000D2FB6"/>
    <w:rsid w:val="000D33A8"/>
    <w:rsid w:val="000D3D33"/>
    <w:rsid w:val="000D52EF"/>
    <w:rsid w:val="000D5F40"/>
    <w:rsid w:val="000E1FDF"/>
    <w:rsid w:val="000E2ED4"/>
    <w:rsid w:val="000E66C2"/>
    <w:rsid w:val="000E689E"/>
    <w:rsid w:val="000F08B7"/>
    <w:rsid w:val="000F1E55"/>
    <w:rsid w:val="000F2E18"/>
    <w:rsid w:val="000F3E0E"/>
    <w:rsid w:val="000F53C8"/>
    <w:rsid w:val="000F5E55"/>
    <w:rsid w:val="0010047E"/>
    <w:rsid w:val="00102D14"/>
    <w:rsid w:val="001033EB"/>
    <w:rsid w:val="00105D19"/>
    <w:rsid w:val="00105F62"/>
    <w:rsid w:val="001111AC"/>
    <w:rsid w:val="00113641"/>
    <w:rsid w:val="00113EA4"/>
    <w:rsid w:val="00114B7C"/>
    <w:rsid w:val="00114F3B"/>
    <w:rsid w:val="00115799"/>
    <w:rsid w:val="00116E9E"/>
    <w:rsid w:val="0012178D"/>
    <w:rsid w:val="00124B8D"/>
    <w:rsid w:val="00126205"/>
    <w:rsid w:val="00127AFC"/>
    <w:rsid w:val="00131C35"/>
    <w:rsid w:val="00133373"/>
    <w:rsid w:val="00135B12"/>
    <w:rsid w:val="001362B1"/>
    <w:rsid w:val="001370AC"/>
    <w:rsid w:val="00137B0C"/>
    <w:rsid w:val="00140ED4"/>
    <w:rsid w:val="00143736"/>
    <w:rsid w:val="00143BC9"/>
    <w:rsid w:val="001468A0"/>
    <w:rsid w:val="001473C3"/>
    <w:rsid w:val="00147B2F"/>
    <w:rsid w:val="001507B1"/>
    <w:rsid w:val="001525F7"/>
    <w:rsid w:val="00152809"/>
    <w:rsid w:val="00152D75"/>
    <w:rsid w:val="00153E40"/>
    <w:rsid w:val="00155A78"/>
    <w:rsid w:val="00157EC2"/>
    <w:rsid w:val="001615BC"/>
    <w:rsid w:val="00162CDD"/>
    <w:rsid w:val="00163494"/>
    <w:rsid w:val="00164568"/>
    <w:rsid w:val="0016779A"/>
    <w:rsid w:val="00170FEF"/>
    <w:rsid w:val="00173249"/>
    <w:rsid w:val="00173381"/>
    <w:rsid w:val="00174330"/>
    <w:rsid w:val="00175EB5"/>
    <w:rsid w:val="001805C3"/>
    <w:rsid w:val="00182A93"/>
    <w:rsid w:val="00183D5A"/>
    <w:rsid w:val="00185416"/>
    <w:rsid w:val="00186371"/>
    <w:rsid w:val="00190AF5"/>
    <w:rsid w:val="001910CF"/>
    <w:rsid w:val="0019306E"/>
    <w:rsid w:val="00194732"/>
    <w:rsid w:val="001A00C5"/>
    <w:rsid w:val="001A0371"/>
    <w:rsid w:val="001A497D"/>
    <w:rsid w:val="001A57A8"/>
    <w:rsid w:val="001A6250"/>
    <w:rsid w:val="001A68E2"/>
    <w:rsid w:val="001A708C"/>
    <w:rsid w:val="001B1269"/>
    <w:rsid w:val="001B6833"/>
    <w:rsid w:val="001C0F97"/>
    <w:rsid w:val="001C5582"/>
    <w:rsid w:val="001D0135"/>
    <w:rsid w:val="001D063E"/>
    <w:rsid w:val="001D2CC3"/>
    <w:rsid w:val="001D5008"/>
    <w:rsid w:val="001E16C7"/>
    <w:rsid w:val="001E3357"/>
    <w:rsid w:val="001E4372"/>
    <w:rsid w:val="001E59DA"/>
    <w:rsid w:val="001F032E"/>
    <w:rsid w:val="001F0637"/>
    <w:rsid w:val="001F08C3"/>
    <w:rsid w:val="001F1B9F"/>
    <w:rsid w:val="001F2591"/>
    <w:rsid w:val="001F7B3C"/>
    <w:rsid w:val="00210B16"/>
    <w:rsid w:val="00211C1A"/>
    <w:rsid w:val="00212277"/>
    <w:rsid w:val="002136AA"/>
    <w:rsid w:val="002137ED"/>
    <w:rsid w:val="00216EA7"/>
    <w:rsid w:val="00220B0E"/>
    <w:rsid w:val="002226BD"/>
    <w:rsid w:val="00223D55"/>
    <w:rsid w:val="0022555E"/>
    <w:rsid w:val="00227CF3"/>
    <w:rsid w:val="002300EE"/>
    <w:rsid w:val="00230FA7"/>
    <w:rsid w:val="00231034"/>
    <w:rsid w:val="00233E63"/>
    <w:rsid w:val="00234676"/>
    <w:rsid w:val="002364F0"/>
    <w:rsid w:val="00240385"/>
    <w:rsid w:val="00240C45"/>
    <w:rsid w:val="00243BFD"/>
    <w:rsid w:val="00243C5E"/>
    <w:rsid w:val="002476EC"/>
    <w:rsid w:val="002516A1"/>
    <w:rsid w:val="002530AA"/>
    <w:rsid w:val="002541E3"/>
    <w:rsid w:val="002566A8"/>
    <w:rsid w:val="002631F7"/>
    <w:rsid w:val="00263D8A"/>
    <w:rsid w:val="00264DB9"/>
    <w:rsid w:val="00267256"/>
    <w:rsid w:val="002722F2"/>
    <w:rsid w:val="002733C2"/>
    <w:rsid w:val="00274CE7"/>
    <w:rsid w:val="002805A2"/>
    <w:rsid w:val="00281CE5"/>
    <w:rsid w:val="00282399"/>
    <w:rsid w:val="00282AA6"/>
    <w:rsid w:val="002833CC"/>
    <w:rsid w:val="002848A7"/>
    <w:rsid w:val="002851E8"/>
    <w:rsid w:val="00287449"/>
    <w:rsid w:val="00291C33"/>
    <w:rsid w:val="00293CAB"/>
    <w:rsid w:val="00293D06"/>
    <w:rsid w:val="00294900"/>
    <w:rsid w:val="00295154"/>
    <w:rsid w:val="0029683B"/>
    <w:rsid w:val="00296882"/>
    <w:rsid w:val="00296B9D"/>
    <w:rsid w:val="00297C1F"/>
    <w:rsid w:val="002A6965"/>
    <w:rsid w:val="002A6E76"/>
    <w:rsid w:val="002A71D6"/>
    <w:rsid w:val="002A7EE4"/>
    <w:rsid w:val="002B1512"/>
    <w:rsid w:val="002B6544"/>
    <w:rsid w:val="002B7D81"/>
    <w:rsid w:val="002C1756"/>
    <w:rsid w:val="002C2690"/>
    <w:rsid w:val="002C712F"/>
    <w:rsid w:val="002D130F"/>
    <w:rsid w:val="002D258C"/>
    <w:rsid w:val="002D2F6E"/>
    <w:rsid w:val="002D30CC"/>
    <w:rsid w:val="002D3D58"/>
    <w:rsid w:val="002D6D58"/>
    <w:rsid w:val="002D6EA5"/>
    <w:rsid w:val="002E0D88"/>
    <w:rsid w:val="002E0E83"/>
    <w:rsid w:val="002E17FC"/>
    <w:rsid w:val="002E21DA"/>
    <w:rsid w:val="002E2DC3"/>
    <w:rsid w:val="002E3369"/>
    <w:rsid w:val="002E4A01"/>
    <w:rsid w:val="002E52F5"/>
    <w:rsid w:val="002E55DD"/>
    <w:rsid w:val="002E7063"/>
    <w:rsid w:val="002F5CDF"/>
    <w:rsid w:val="002F7EA9"/>
    <w:rsid w:val="00300219"/>
    <w:rsid w:val="00302345"/>
    <w:rsid w:val="00302C1B"/>
    <w:rsid w:val="0030608B"/>
    <w:rsid w:val="00310202"/>
    <w:rsid w:val="003122E4"/>
    <w:rsid w:val="00312D58"/>
    <w:rsid w:val="0031392E"/>
    <w:rsid w:val="003175AB"/>
    <w:rsid w:val="00321182"/>
    <w:rsid w:val="003266B5"/>
    <w:rsid w:val="0033039A"/>
    <w:rsid w:val="00330546"/>
    <w:rsid w:val="00330CB6"/>
    <w:rsid w:val="00331ED7"/>
    <w:rsid w:val="00331F6F"/>
    <w:rsid w:val="00333653"/>
    <w:rsid w:val="00335FB0"/>
    <w:rsid w:val="00337806"/>
    <w:rsid w:val="00340BE2"/>
    <w:rsid w:val="00340F36"/>
    <w:rsid w:val="00343C32"/>
    <w:rsid w:val="00344508"/>
    <w:rsid w:val="0034557E"/>
    <w:rsid w:val="00346D9F"/>
    <w:rsid w:val="00346DC0"/>
    <w:rsid w:val="00347DAF"/>
    <w:rsid w:val="0035382E"/>
    <w:rsid w:val="00353F3F"/>
    <w:rsid w:val="00354ED3"/>
    <w:rsid w:val="00362D9C"/>
    <w:rsid w:val="00366A7B"/>
    <w:rsid w:val="00367439"/>
    <w:rsid w:val="00367DD8"/>
    <w:rsid w:val="003716FA"/>
    <w:rsid w:val="00371B4C"/>
    <w:rsid w:val="00377552"/>
    <w:rsid w:val="003803BF"/>
    <w:rsid w:val="00381E5C"/>
    <w:rsid w:val="0038208C"/>
    <w:rsid w:val="00384DEB"/>
    <w:rsid w:val="00390C21"/>
    <w:rsid w:val="00394A29"/>
    <w:rsid w:val="003A1D6A"/>
    <w:rsid w:val="003A3436"/>
    <w:rsid w:val="003A3777"/>
    <w:rsid w:val="003A4371"/>
    <w:rsid w:val="003A5CD9"/>
    <w:rsid w:val="003B2EB0"/>
    <w:rsid w:val="003B3933"/>
    <w:rsid w:val="003B395D"/>
    <w:rsid w:val="003B5C0F"/>
    <w:rsid w:val="003B6DE2"/>
    <w:rsid w:val="003B789F"/>
    <w:rsid w:val="003C06A9"/>
    <w:rsid w:val="003C6F4B"/>
    <w:rsid w:val="003C70EE"/>
    <w:rsid w:val="003D2B9F"/>
    <w:rsid w:val="003E1085"/>
    <w:rsid w:val="003E15D6"/>
    <w:rsid w:val="003E1A76"/>
    <w:rsid w:val="003E3C66"/>
    <w:rsid w:val="003E465B"/>
    <w:rsid w:val="003E6741"/>
    <w:rsid w:val="003F0B4D"/>
    <w:rsid w:val="003F57C4"/>
    <w:rsid w:val="003F77C6"/>
    <w:rsid w:val="00400C61"/>
    <w:rsid w:val="00401351"/>
    <w:rsid w:val="00403AD7"/>
    <w:rsid w:val="004044A7"/>
    <w:rsid w:val="00406BB5"/>
    <w:rsid w:val="00406DFB"/>
    <w:rsid w:val="00411DDB"/>
    <w:rsid w:val="00413692"/>
    <w:rsid w:val="00414166"/>
    <w:rsid w:val="004159A8"/>
    <w:rsid w:val="004162A8"/>
    <w:rsid w:val="0042048D"/>
    <w:rsid w:val="0042250C"/>
    <w:rsid w:val="004234BE"/>
    <w:rsid w:val="0042451F"/>
    <w:rsid w:val="00425BDF"/>
    <w:rsid w:val="00426EAF"/>
    <w:rsid w:val="00426ECD"/>
    <w:rsid w:val="00432FB5"/>
    <w:rsid w:val="00437DA7"/>
    <w:rsid w:val="0044000B"/>
    <w:rsid w:val="004441B7"/>
    <w:rsid w:val="00444319"/>
    <w:rsid w:val="00444AF7"/>
    <w:rsid w:val="00444E37"/>
    <w:rsid w:val="00445A74"/>
    <w:rsid w:val="004466E9"/>
    <w:rsid w:val="0045023F"/>
    <w:rsid w:val="004510E7"/>
    <w:rsid w:val="004521A7"/>
    <w:rsid w:val="0045461F"/>
    <w:rsid w:val="00460886"/>
    <w:rsid w:val="00462A61"/>
    <w:rsid w:val="00462FBF"/>
    <w:rsid w:val="00466320"/>
    <w:rsid w:val="00466655"/>
    <w:rsid w:val="00467950"/>
    <w:rsid w:val="0047035D"/>
    <w:rsid w:val="0047271A"/>
    <w:rsid w:val="00475015"/>
    <w:rsid w:val="004754EE"/>
    <w:rsid w:val="00477885"/>
    <w:rsid w:val="00484F82"/>
    <w:rsid w:val="004874AB"/>
    <w:rsid w:val="004875D5"/>
    <w:rsid w:val="00490335"/>
    <w:rsid w:val="00492063"/>
    <w:rsid w:val="00492C36"/>
    <w:rsid w:val="00493191"/>
    <w:rsid w:val="00493267"/>
    <w:rsid w:val="00493EE2"/>
    <w:rsid w:val="00494D0C"/>
    <w:rsid w:val="00495D13"/>
    <w:rsid w:val="004A261C"/>
    <w:rsid w:val="004A2718"/>
    <w:rsid w:val="004A366B"/>
    <w:rsid w:val="004A4891"/>
    <w:rsid w:val="004A51B9"/>
    <w:rsid w:val="004A732F"/>
    <w:rsid w:val="004A7D92"/>
    <w:rsid w:val="004B08ED"/>
    <w:rsid w:val="004B3056"/>
    <w:rsid w:val="004B4038"/>
    <w:rsid w:val="004B41AA"/>
    <w:rsid w:val="004B532F"/>
    <w:rsid w:val="004B6406"/>
    <w:rsid w:val="004C0BE3"/>
    <w:rsid w:val="004C0DB4"/>
    <w:rsid w:val="004C1076"/>
    <w:rsid w:val="004C3235"/>
    <w:rsid w:val="004C53DB"/>
    <w:rsid w:val="004D05CE"/>
    <w:rsid w:val="004D1DA5"/>
    <w:rsid w:val="004D3411"/>
    <w:rsid w:val="004D4C20"/>
    <w:rsid w:val="004D4ECB"/>
    <w:rsid w:val="004D5B66"/>
    <w:rsid w:val="004D7915"/>
    <w:rsid w:val="004E1E61"/>
    <w:rsid w:val="004E5939"/>
    <w:rsid w:val="004E6DCB"/>
    <w:rsid w:val="004F01EF"/>
    <w:rsid w:val="004F0971"/>
    <w:rsid w:val="004F132E"/>
    <w:rsid w:val="004F1737"/>
    <w:rsid w:val="004F372F"/>
    <w:rsid w:val="004F3BB4"/>
    <w:rsid w:val="004F473B"/>
    <w:rsid w:val="004F5BA1"/>
    <w:rsid w:val="00511194"/>
    <w:rsid w:val="00514CD2"/>
    <w:rsid w:val="005151B1"/>
    <w:rsid w:val="00516801"/>
    <w:rsid w:val="00516F88"/>
    <w:rsid w:val="005255A2"/>
    <w:rsid w:val="00525F37"/>
    <w:rsid w:val="00527D94"/>
    <w:rsid w:val="00532245"/>
    <w:rsid w:val="0053531E"/>
    <w:rsid w:val="00535E69"/>
    <w:rsid w:val="00537652"/>
    <w:rsid w:val="0054129C"/>
    <w:rsid w:val="00541B6B"/>
    <w:rsid w:val="005423D8"/>
    <w:rsid w:val="0054290F"/>
    <w:rsid w:val="00545389"/>
    <w:rsid w:val="0054717B"/>
    <w:rsid w:val="00547684"/>
    <w:rsid w:val="00552A12"/>
    <w:rsid w:val="00553315"/>
    <w:rsid w:val="00556FEA"/>
    <w:rsid w:val="0055707E"/>
    <w:rsid w:val="00557434"/>
    <w:rsid w:val="00557BC5"/>
    <w:rsid w:val="00561419"/>
    <w:rsid w:val="00562D43"/>
    <w:rsid w:val="00563029"/>
    <w:rsid w:val="005646E8"/>
    <w:rsid w:val="0057191D"/>
    <w:rsid w:val="00573FAB"/>
    <w:rsid w:val="00574010"/>
    <w:rsid w:val="00574013"/>
    <w:rsid w:val="005747C2"/>
    <w:rsid w:val="005761D5"/>
    <w:rsid w:val="00582E6B"/>
    <w:rsid w:val="00584B00"/>
    <w:rsid w:val="00585036"/>
    <w:rsid w:val="0058549A"/>
    <w:rsid w:val="00586E65"/>
    <w:rsid w:val="00587AB0"/>
    <w:rsid w:val="00595314"/>
    <w:rsid w:val="005964B5"/>
    <w:rsid w:val="005A2465"/>
    <w:rsid w:val="005A4BB7"/>
    <w:rsid w:val="005A4F54"/>
    <w:rsid w:val="005A4FB7"/>
    <w:rsid w:val="005A673C"/>
    <w:rsid w:val="005A7845"/>
    <w:rsid w:val="005B45CA"/>
    <w:rsid w:val="005B4CF4"/>
    <w:rsid w:val="005B62B1"/>
    <w:rsid w:val="005B71D1"/>
    <w:rsid w:val="005B788E"/>
    <w:rsid w:val="005C0110"/>
    <w:rsid w:val="005C0F0C"/>
    <w:rsid w:val="005C1084"/>
    <w:rsid w:val="005C15B0"/>
    <w:rsid w:val="005C2F47"/>
    <w:rsid w:val="005C2FED"/>
    <w:rsid w:val="005C5564"/>
    <w:rsid w:val="005D0901"/>
    <w:rsid w:val="005D0AD5"/>
    <w:rsid w:val="005D2149"/>
    <w:rsid w:val="005D322B"/>
    <w:rsid w:val="005D41FA"/>
    <w:rsid w:val="005D4BF7"/>
    <w:rsid w:val="005E05FB"/>
    <w:rsid w:val="005E12F8"/>
    <w:rsid w:val="005E2305"/>
    <w:rsid w:val="005E252C"/>
    <w:rsid w:val="005E42E1"/>
    <w:rsid w:val="005E48BB"/>
    <w:rsid w:val="005E7EC3"/>
    <w:rsid w:val="005E7F2D"/>
    <w:rsid w:val="005F21F9"/>
    <w:rsid w:val="005F2594"/>
    <w:rsid w:val="005F3343"/>
    <w:rsid w:val="005F5B5B"/>
    <w:rsid w:val="005F7E6F"/>
    <w:rsid w:val="0060289C"/>
    <w:rsid w:val="00604E5A"/>
    <w:rsid w:val="0060613B"/>
    <w:rsid w:val="0060775E"/>
    <w:rsid w:val="00610CD4"/>
    <w:rsid w:val="00617D55"/>
    <w:rsid w:val="006201E4"/>
    <w:rsid w:val="00622731"/>
    <w:rsid w:val="00625486"/>
    <w:rsid w:val="00627584"/>
    <w:rsid w:val="00632C71"/>
    <w:rsid w:val="00633DF8"/>
    <w:rsid w:val="00634C0B"/>
    <w:rsid w:val="00640413"/>
    <w:rsid w:val="0064053A"/>
    <w:rsid w:val="00640632"/>
    <w:rsid w:val="0064168D"/>
    <w:rsid w:val="006426E4"/>
    <w:rsid w:val="00644E7C"/>
    <w:rsid w:val="006513E5"/>
    <w:rsid w:val="006522EC"/>
    <w:rsid w:val="00655C85"/>
    <w:rsid w:val="00655D2F"/>
    <w:rsid w:val="006608D3"/>
    <w:rsid w:val="00662C8F"/>
    <w:rsid w:val="006637C3"/>
    <w:rsid w:val="006638EE"/>
    <w:rsid w:val="00663E0A"/>
    <w:rsid w:val="00665F3C"/>
    <w:rsid w:val="00666161"/>
    <w:rsid w:val="00672199"/>
    <w:rsid w:val="00672903"/>
    <w:rsid w:val="006743B2"/>
    <w:rsid w:val="006761EE"/>
    <w:rsid w:val="0069084F"/>
    <w:rsid w:val="0069475F"/>
    <w:rsid w:val="0069491C"/>
    <w:rsid w:val="00695534"/>
    <w:rsid w:val="0069567B"/>
    <w:rsid w:val="006A3269"/>
    <w:rsid w:val="006A469A"/>
    <w:rsid w:val="006A48DF"/>
    <w:rsid w:val="006A524B"/>
    <w:rsid w:val="006A5BF6"/>
    <w:rsid w:val="006A6C25"/>
    <w:rsid w:val="006A7CB8"/>
    <w:rsid w:val="006B0CAF"/>
    <w:rsid w:val="006B13B5"/>
    <w:rsid w:val="006B1556"/>
    <w:rsid w:val="006B331E"/>
    <w:rsid w:val="006B632F"/>
    <w:rsid w:val="006C196B"/>
    <w:rsid w:val="006C2FC2"/>
    <w:rsid w:val="006C3FEC"/>
    <w:rsid w:val="006C47B1"/>
    <w:rsid w:val="006C5E9C"/>
    <w:rsid w:val="006D0AA5"/>
    <w:rsid w:val="006D43A5"/>
    <w:rsid w:val="006D7CB3"/>
    <w:rsid w:val="006E172D"/>
    <w:rsid w:val="006E1919"/>
    <w:rsid w:val="006E2A25"/>
    <w:rsid w:val="006E3872"/>
    <w:rsid w:val="006E73C4"/>
    <w:rsid w:val="006F1797"/>
    <w:rsid w:val="006F1BFC"/>
    <w:rsid w:val="006F3BC1"/>
    <w:rsid w:val="006F52E7"/>
    <w:rsid w:val="00700FA1"/>
    <w:rsid w:val="00704252"/>
    <w:rsid w:val="00704A7B"/>
    <w:rsid w:val="00704DA5"/>
    <w:rsid w:val="00705A5E"/>
    <w:rsid w:val="00706CFF"/>
    <w:rsid w:val="007121C8"/>
    <w:rsid w:val="007207C0"/>
    <w:rsid w:val="00722F52"/>
    <w:rsid w:val="00723D2C"/>
    <w:rsid w:val="00723E0B"/>
    <w:rsid w:val="0072599F"/>
    <w:rsid w:val="00730CB0"/>
    <w:rsid w:val="0073277F"/>
    <w:rsid w:val="00733AB7"/>
    <w:rsid w:val="00733EB5"/>
    <w:rsid w:val="00741200"/>
    <w:rsid w:val="0074122E"/>
    <w:rsid w:val="007435FA"/>
    <w:rsid w:val="00745C84"/>
    <w:rsid w:val="007472BD"/>
    <w:rsid w:val="00747ACF"/>
    <w:rsid w:val="00747D53"/>
    <w:rsid w:val="00750579"/>
    <w:rsid w:val="00752A75"/>
    <w:rsid w:val="00752C2B"/>
    <w:rsid w:val="007533EC"/>
    <w:rsid w:val="00753416"/>
    <w:rsid w:val="00753AD8"/>
    <w:rsid w:val="00755257"/>
    <w:rsid w:val="007553E3"/>
    <w:rsid w:val="007567B4"/>
    <w:rsid w:val="0075699D"/>
    <w:rsid w:val="00757712"/>
    <w:rsid w:val="00757BB2"/>
    <w:rsid w:val="007619FA"/>
    <w:rsid w:val="00763EB2"/>
    <w:rsid w:val="00764CA0"/>
    <w:rsid w:val="0076566D"/>
    <w:rsid w:val="00767012"/>
    <w:rsid w:val="00771047"/>
    <w:rsid w:val="00772195"/>
    <w:rsid w:val="00775055"/>
    <w:rsid w:val="007753BD"/>
    <w:rsid w:val="007753F6"/>
    <w:rsid w:val="00776676"/>
    <w:rsid w:val="0078167D"/>
    <w:rsid w:val="007858E0"/>
    <w:rsid w:val="00787DD9"/>
    <w:rsid w:val="00791608"/>
    <w:rsid w:val="00794008"/>
    <w:rsid w:val="00794D07"/>
    <w:rsid w:val="00796A4A"/>
    <w:rsid w:val="00797461"/>
    <w:rsid w:val="007A0647"/>
    <w:rsid w:val="007A3080"/>
    <w:rsid w:val="007A3F38"/>
    <w:rsid w:val="007A4AF0"/>
    <w:rsid w:val="007A69B9"/>
    <w:rsid w:val="007A6E43"/>
    <w:rsid w:val="007B1792"/>
    <w:rsid w:val="007B1A1B"/>
    <w:rsid w:val="007B4C26"/>
    <w:rsid w:val="007B5E51"/>
    <w:rsid w:val="007B729C"/>
    <w:rsid w:val="007C1AC8"/>
    <w:rsid w:val="007C2223"/>
    <w:rsid w:val="007C37BF"/>
    <w:rsid w:val="007C40DA"/>
    <w:rsid w:val="007C5294"/>
    <w:rsid w:val="007C5E5F"/>
    <w:rsid w:val="007C7355"/>
    <w:rsid w:val="007D192D"/>
    <w:rsid w:val="007D32B0"/>
    <w:rsid w:val="007D3D4A"/>
    <w:rsid w:val="007D4B63"/>
    <w:rsid w:val="007D4DCF"/>
    <w:rsid w:val="007D621B"/>
    <w:rsid w:val="007D677D"/>
    <w:rsid w:val="007D7293"/>
    <w:rsid w:val="007D7ACA"/>
    <w:rsid w:val="007E4362"/>
    <w:rsid w:val="007E77D5"/>
    <w:rsid w:val="007F401E"/>
    <w:rsid w:val="008002CC"/>
    <w:rsid w:val="008002DF"/>
    <w:rsid w:val="00800E3C"/>
    <w:rsid w:val="008055F4"/>
    <w:rsid w:val="00805B39"/>
    <w:rsid w:val="0080634C"/>
    <w:rsid w:val="00806E05"/>
    <w:rsid w:val="00814372"/>
    <w:rsid w:val="00816734"/>
    <w:rsid w:val="0082194F"/>
    <w:rsid w:val="00822621"/>
    <w:rsid w:val="008232B4"/>
    <w:rsid w:val="00823C83"/>
    <w:rsid w:val="00825FCB"/>
    <w:rsid w:val="00826B7F"/>
    <w:rsid w:val="00831132"/>
    <w:rsid w:val="008319C2"/>
    <w:rsid w:val="00833ADB"/>
    <w:rsid w:val="00834864"/>
    <w:rsid w:val="00834A47"/>
    <w:rsid w:val="00836CD4"/>
    <w:rsid w:val="008370AE"/>
    <w:rsid w:val="008403BA"/>
    <w:rsid w:val="008405C4"/>
    <w:rsid w:val="0084061A"/>
    <w:rsid w:val="00840E0E"/>
    <w:rsid w:val="00844A27"/>
    <w:rsid w:val="008472B0"/>
    <w:rsid w:val="00853438"/>
    <w:rsid w:val="0086218B"/>
    <w:rsid w:val="00862565"/>
    <w:rsid w:val="00862AB6"/>
    <w:rsid w:val="008639AC"/>
    <w:rsid w:val="00863CAE"/>
    <w:rsid w:val="0086534F"/>
    <w:rsid w:val="0086594F"/>
    <w:rsid w:val="00865AAE"/>
    <w:rsid w:val="00866A50"/>
    <w:rsid w:val="0087190D"/>
    <w:rsid w:val="00873207"/>
    <w:rsid w:val="00874332"/>
    <w:rsid w:val="00875F4F"/>
    <w:rsid w:val="00876B91"/>
    <w:rsid w:val="00876D17"/>
    <w:rsid w:val="00881F90"/>
    <w:rsid w:val="00882EEA"/>
    <w:rsid w:val="00883343"/>
    <w:rsid w:val="00883875"/>
    <w:rsid w:val="00883923"/>
    <w:rsid w:val="008842D8"/>
    <w:rsid w:val="008845CB"/>
    <w:rsid w:val="008850FB"/>
    <w:rsid w:val="008856E4"/>
    <w:rsid w:val="00890695"/>
    <w:rsid w:val="00893AF6"/>
    <w:rsid w:val="00893D7F"/>
    <w:rsid w:val="0089523E"/>
    <w:rsid w:val="00895D27"/>
    <w:rsid w:val="00897DB4"/>
    <w:rsid w:val="008A0329"/>
    <w:rsid w:val="008A186F"/>
    <w:rsid w:val="008A1E04"/>
    <w:rsid w:val="008B1108"/>
    <w:rsid w:val="008B4DAA"/>
    <w:rsid w:val="008B5005"/>
    <w:rsid w:val="008B5138"/>
    <w:rsid w:val="008B5C19"/>
    <w:rsid w:val="008C3B9C"/>
    <w:rsid w:val="008C6D16"/>
    <w:rsid w:val="008C7F80"/>
    <w:rsid w:val="008D01DF"/>
    <w:rsid w:val="008D3A6D"/>
    <w:rsid w:val="008D4B66"/>
    <w:rsid w:val="008D5DD5"/>
    <w:rsid w:val="008E0CF3"/>
    <w:rsid w:val="008E1437"/>
    <w:rsid w:val="008E1C2C"/>
    <w:rsid w:val="008E22CD"/>
    <w:rsid w:val="008E3285"/>
    <w:rsid w:val="008E3802"/>
    <w:rsid w:val="008E47A5"/>
    <w:rsid w:val="008E5FF9"/>
    <w:rsid w:val="008F04B0"/>
    <w:rsid w:val="008F2567"/>
    <w:rsid w:val="008F5CF0"/>
    <w:rsid w:val="008F695A"/>
    <w:rsid w:val="008F6AD5"/>
    <w:rsid w:val="009025C7"/>
    <w:rsid w:val="00902B6A"/>
    <w:rsid w:val="009037AB"/>
    <w:rsid w:val="00907E5A"/>
    <w:rsid w:val="00910747"/>
    <w:rsid w:val="00912C43"/>
    <w:rsid w:val="009130C3"/>
    <w:rsid w:val="0091324F"/>
    <w:rsid w:val="00917F4B"/>
    <w:rsid w:val="00925040"/>
    <w:rsid w:val="009323A5"/>
    <w:rsid w:val="0093267E"/>
    <w:rsid w:val="00932DEF"/>
    <w:rsid w:val="00935EA6"/>
    <w:rsid w:val="00936502"/>
    <w:rsid w:val="00940115"/>
    <w:rsid w:val="00942457"/>
    <w:rsid w:val="0094285F"/>
    <w:rsid w:val="00942966"/>
    <w:rsid w:val="009433A3"/>
    <w:rsid w:val="009445AA"/>
    <w:rsid w:val="00944692"/>
    <w:rsid w:val="00945877"/>
    <w:rsid w:val="00945F1D"/>
    <w:rsid w:val="00947023"/>
    <w:rsid w:val="00947BCF"/>
    <w:rsid w:val="00951532"/>
    <w:rsid w:val="00952259"/>
    <w:rsid w:val="00955747"/>
    <w:rsid w:val="009561F3"/>
    <w:rsid w:val="009570AF"/>
    <w:rsid w:val="00960099"/>
    <w:rsid w:val="00961568"/>
    <w:rsid w:val="00966299"/>
    <w:rsid w:val="00976862"/>
    <w:rsid w:val="00986170"/>
    <w:rsid w:val="0098723C"/>
    <w:rsid w:val="00990323"/>
    <w:rsid w:val="00992E6D"/>
    <w:rsid w:val="00994C5E"/>
    <w:rsid w:val="00995269"/>
    <w:rsid w:val="00996549"/>
    <w:rsid w:val="00997C58"/>
    <w:rsid w:val="009A1CD7"/>
    <w:rsid w:val="009A4F33"/>
    <w:rsid w:val="009A748C"/>
    <w:rsid w:val="009A7998"/>
    <w:rsid w:val="009B0600"/>
    <w:rsid w:val="009B1143"/>
    <w:rsid w:val="009B1D63"/>
    <w:rsid w:val="009B6471"/>
    <w:rsid w:val="009C33CA"/>
    <w:rsid w:val="009C4561"/>
    <w:rsid w:val="009C506B"/>
    <w:rsid w:val="009C508D"/>
    <w:rsid w:val="009C6900"/>
    <w:rsid w:val="009D0A06"/>
    <w:rsid w:val="009D48E2"/>
    <w:rsid w:val="009D5141"/>
    <w:rsid w:val="009D5ADA"/>
    <w:rsid w:val="009D634E"/>
    <w:rsid w:val="009D78CB"/>
    <w:rsid w:val="009E061D"/>
    <w:rsid w:val="009E111A"/>
    <w:rsid w:val="009E2BDB"/>
    <w:rsid w:val="009E322E"/>
    <w:rsid w:val="009E6903"/>
    <w:rsid w:val="009E6EA9"/>
    <w:rsid w:val="009F0D2C"/>
    <w:rsid w:val="009F0FD0"/>
    <w:rsid w:val="009F15FA"/>
    <w:rsid w:val="009F39CB"/>
    <w:rsid w:val="009F7145"/>
    <w:rsid w:val="00A00749"/>
    <w:rsid w:val="00A015E0"/>
    <w:rsid w:val="00A05E88"/>
    <w:rsid w:val="00A0759B"/>
    <w:rsid w:val="00A10D21"/>
    <w:rsid w:val="00A12650"/>
    <w:rsid w:val="00A151F3"/>
    <w:rsid w:val="00A1612F"/>
    <w:rsid w:val="00A26B73"/>
    <w:rsid w:val="00A27914"/>
    <w:rsid w:val="00A31010"/>
    <w:rsid w:val="00A319CC"/>
    <w:rsid w:val="00A32089"/>
    <w:rsid w:val="00A32FEF"/>
    <w:rsid w:val="00A34D31"/>
    <w:rsid w:val="00A4009E"/>
    <w:rsid w:val="00A40258"/>
    <w:rsid w:val="00A419B3"/>
    <w:rsid w:val="00A44A25"/>
    <w:rsid w:val="00A4739E"/>
    <w:rsid w:val="00A505CB"/>
    <w:rsid w:val="00A518CB"/>
    <w:rsid w:val="00A545BE"/>
    <w:rsid w:val="00A54CE0"/>
    <w:rsid w:val="00A55D0A"/>
    <w:rsid w:val="00A56F5D"/>
    <w:rsid w:val="00A5707B"/>
    <w:rsid w:val="00A6126E"/>
    <w:rsid w:val="00A63A1D"/>
    <w:rsid w:val="00A6737D"/>
    <w:rsid w:val="00A70029"/>
    <w:rsid w:val="00A70CB8"/>
    <w:rsid w:val="00A70FC6"/>
    <w:rsid w:val="00A73500"/>
    <w:rsid w:val="00A73696"/>
    <w:rsid w:val="00A75D4D"/>
    <w:rsid w:val="00A76D1F"/>
    <w:rsid w:val="00A808B5"/>
    <w:rsid w:val="00A80F6C"/>
    <w:rsid w:val="00A85E84"/>
    <w:rsid w:val="00A85F17"/>
    <w:rsid w:val="00A8692B"/>
    <w:rsid w:val="00A9124A"/>
    <w:rsid w:val="00A94D51"/>
    <w:rsid w:val="00A95206"/>
    <w:rsid w:val="00A96093"/>
    <w:rsid w:val="00A97027"/>
    <w:rsid w:val="00AA10D6"/>
    <w:rsid w:val="00AA11B3"/>
    <w:rsid w:val="00AA1FC9"/>
    <w:rsid w:val="00AA3254"/>
    <w:rsid w:val="00AB0EE3"/>
    <w:rsid w:val="00AB1B1F"/>
    <w:rsid w:val="00AB2B2C"/>
    <w:rsid w:val="00AB59E9"/>
    <w:rsid w:val="00AB5AAD"/>
    <w:rsid w:val="00AB6CBA"/>
    <w:rsid w:val="00AC3E3D"/>
    <w:rsid w:val="00AC5507"/>
    <w:rsid w:val="00AD05DB"/>
    <w:rsid w:val="00AD09C8"/>
    <w:rsid w:val="00AD1F35"/>
    <w:rsid w:val="00AD3164"/>
    <w:rsid w:val="00AD3681"/>
    <w:rsid w:val="00AD3B56"/>
    <w:rsid w:val="00AD66EA"/>
    <w:rsid w:val="00AE1347"/>
    <w:rsid w:val="00AE37DE"/>
    <w:rsid w:val="00AE5586"/>
    <w:rsid w:val="00AF2170"/>
    <w:rsid w:val="00AF2F37"/>
    <w:rsid w:val="00AF3444"/>
    <w:rsid w:val="00AF43C5"/>
    <w:rsid w:val="00AF45D7"/>
    <w:rsid w:val="00B00FB8"/>
    <w:rsid w:val="00B02216"/>
    <w:rsid w:val="00B02D1C"/>
    <w:rsid w:val="00B02FBE"/>
    <w:rsid w:val="00B04FE4"/>
    <w:rsid w:val="00B052BE"/>
    <w:rsid w:val="00B05D4E"/>
    <w:rsid w:val="00B07FF8"/>
    <w:rsid w:val="00B10C27"/>
    <w:rsid w:val="00B112EE"/>
    <w:rsid w:val="00B15E41"/>
    <w:rsid w:val="00B15F72"/>
    <w:rsid w:val="00B22395"/>
    <w:rsid w:val="00B2286A"/>
    <w:rsid w:val="00B239E3"/>
    <w:rsid w:val="00B409AA"/>
    <w:rsid w:val="00B41ADE"/>
    <w:rsid w:val="00B42ABE"/>
    <w:rsid w:val="00B42F6B"/>
    <w:rsid w:val="00B43B8D"/>
    <w:rsid w:val="00B4794A"/>
    <w:rsid w:val="00B5315B"/>
    <w:rsid w:val="00B541A5"/>
    <w:rsid w:val="00B54D66"/>
    <w:rsid w:val="00B56AB8"/>
    <w:rsid w:val="00B616CB"/>
    <w:rsid w:val="00B6193F"/>
    <w:rsid w:val="00B626EF"/>
    <w:rsid w:val="00B638CD"/>
    <w:rsid w:val="00B67448"/>
    <w:rsid w:val="00B67537"/>
    <w:rsid w:val="00B70016"/>
    <w:rsid w:val="00B709B4"/>
    <w:rsid w:val="00B71DA3"/>
    <w:rsid w:val="00B736FC"/>
    <w:rsid w:val="00B77E88"/>
    <w:rsid w:val="00B81F6E"/>
    <w:rsid w:val="00B833E8"/>
    <w:rsid w:val="00B844E6"/>
    <w:rsid w:val="00B85598"/>
    <w:rsid w:val="00B87041"/>
    <w:rsid w:val="00B910FC"/>
    <w:rsid w:val="00B918AB"/>
    <w:rsid w:val="00B93674"/>
    <w:rsid w:val="00B952F2"/>
    <w:rsid w:val="00B954C2"/>
    <w:rsid w:val="00B96D53"/>
    <w:rsid w:val="00BA0349"/>
    <w:rsid w:val="00BA0974"/>
    <w:rsid w:val="00BA12FA"/>
    <w:rsid w:val="00BA44BD"/>
    <w:rsid w:val="00BA5C10"/>
    <w:rsid w:val="00BA63F1"/>
    <w:rsid w:val="00BA7416"/>
    <w:rsid w:val="00BB3B5B"/>
    <w:rsid w:val="00BB43D2"/>
    <w:rsid w:val="00BB5D01"/>
    <w:rsid w:val="00BB6E39"/>
    <w:rsid w:val="00BC0DD2"/>
    <w:rsid w:val="00BC1D33"/>
    <w:rsid w:val="00BC20C2"/>
    <w:rsid w:val="00BC2B91"/>
    <w:rsid w:val="00BC31A0"/>
    <w:rsid w:val="00BC48FD"/>
    <w:rsid w:val="00BC5AE8"/>
    <w:rsid w:val="00BD24EE"/>
    <w:rsid w:val="00BD2B11"/>
    <w:rsid w:val="00BD2B81"/>
    <w:rsid w:val="00BD2C74"/>
    <w:rsid w:val="00BD3B8F"/>
    <w:rsid w:val="00BE09B3"/>
    <w:rsid w:val="00BE118A"/>
    <w:rsid w:val="00BE207D"/>
    <w:rsid w:val="00BE2261"/>
    <w:rsid w:val="00BE722C"/>
    <w:rsid w:val="00BF102A"/>
    <w:rsid w:val="00BF295A"/>
    <w:rsid w:val="00BF2E80"/>
    <w:rsid w:val="00BF5C8D"/>
    <w:rsid w:val="00C0245D"/>
    <w:rsid w:val="00C024F4"/>
    <w:rsid w:val="00C03F87"/>
    <w:rsid w:val="00C06337"/>
    <w:rsid w:val="00C06406"/>
    <w:rsid w:val="00C074FB"/>
    <w:rsid w:val="00C07FC2"/>
    <w:rsid w:val="00C106B0"/>
    <w:rsid w:val="00C107C4"/>
    <w:rsid w:val="00C11759"/>
    <w:rsid w:val="00C135DC"/>
    <w:rsid w:val="00C15821"/>
    <w:rsid w:val="00C204FE"/>
    <w:rsid w:val="00C21484"/>
    <w:rsid w:val="00C21ADC"/>
    <w:rsid w:val="00C246FA"/>
    <w:rsid w:val="00C253B3"/>
    <w:rsid w:val="00C25892"/>
    <w:rsid w:val="00C25B54"/>
    <w:rsid w:val="00C27693"/>
    <w:rsid w:val="00C2789A"/>
    <w:rsid w:val="00C30631"/>
    <w:rsid w:val="00C31323"/>
    <w:rsid w:val="00C31387"/>
    <w:rsid w:val="00C31454"/>
    <w:rsid w:val="00C335BE"/>
    <w:rsid w:val="00C35699"/>
    <w:rsid w:val="00C36386"/>
    <w:rsid w:val="00C36A12"/>
    <w:rsid w:val="00C37873"/>
    <w:rsid w:val="00C37DAC"/>
    <w:rsid w:val="00C40F42"/>
    <w:rsid w:val="00C41F0D"/>
    <w:rsid w:val="00C45F90"/>
    <w:rsid w:val="00C46EF1"/>
    <w:rsid w:val="00C478B8"/>
    <w:rsid w:val="00C5222A"/>
    <w:rsid w:val="00C53985"/>
    <w:rsid w:val="00C54178"/>
    <w:rsid w:val="00C543CD"/>
    <w:rsid w:val="00C54BD2"/>
    <w:rsid w:val="00C55E90"/>
    <w:rsid w:val="00C57EC6"/>
    <w:rsid w:val="00C63D31"/>
    <w:rsid w:val="00C6405D"/>
    <w:rsid w:val="00C648F0"/>
    <w:rsid w:val="00C65F42"/>
    <w:rsid w:val="00C66F0B"/>
    <w:rsid w:val="00C70832"/>
    <w:rsid w:val="00C711E1"/>
    <w:rsid w:val="00C715E0"/>
    <w:rsid w:val="00C720FA"/>
    <w:rsid w:val="00C73AC6"/>
    <w:rsid w:val="00C82946"/>
    <w:rsid w:val="00C82A3F"/>
    <w:rsid w:val="00C83818"/>
    <w:rsid w:val="00C90457"/>
    <w:rsid w:val="00C92552"/>
    <w:rsid w:val="00C93A8B"/>
    <w:rsid w:val="00C9761F"/>
    <w:rsid w:val="00CA0F42"/>
    <w:rsid w:val="00CA2B71"/>
    <w:rsid w:val="00CA37D1"/>
    <w:rsid w:val="00CA708C"/>
    <w:rsid w:val="00CB21A6"/>
    <w:rsid w:val="00CB37AA"/>
    <w:rsid w:val="00CB4062"/>
    <w:rsid w:val="00CB7282"/>
    <w:rsid w:val="00CB7BD3"/>
    <w:rsid w:val="00CC0160"/>
    <w:rsid w:val="00CC29BB"/>
    <w:rsid w:val="00CC7881"/>
    <w:rsid w:val="00CD0916"/>
    <w:rsid w:val="00CD4804"/>
    <w:rsid w:val="00CD53DB"/>
    <w:rsid w:val="00CD720F"/>
    <w:rsid w:val="00CE0760"/>
    <w:rsid w:val="00CE2F87"/>
    <w:rsid w:val="00CE43C3"/>
    <w:rsid w:val="00CE683C"/>
    <w:rsid w:val="00CE6AF8"/>
    <w:rsid w:val="00CE72CC"/>
    <w:rsid w:val="00CF2366"/>
    <w:rsid w:val="00CF2CCF"/>
    <w:rsid w:val="00CF6A33"/>
    <w:rsid w:val="00CF7442"/>
    <w:rsid w:val="00CF7529"/>
    <w:rsid w:val="00D0010B"/>
    <w:rsid w:val="00D00786"/>
    <w:rsid w:val="00D018F7"/>
    <w:rsid w:val="00D01D81"/>
    <w:rsid w:val="00D02744"/>
    <w:rsid w:val="00D02CD4"/>
    <w:rsid w:val="00D03FAA"/>
    <w:rsid w:val="00D06A06"/>
    <w:rsid w:val="00D07BBE"/>
    <w:rsid w:val="00D07E6D"/>
    <w:rsid w:val="00D1673E"/>
    <w:rsid w:val="00D17E03"/>
    <w:rsid w:val="00D208AD"/>
    <w:rsid w:val="00D25CE7"/>
    <w:rsid w:val="00D30177"/>
    <w:rsid w:val="00D321B4"/>
    <w:rsid w:val="00D33E94"/>
    <w:rsid w:val="00D34D88"/>
    <w:rsid w:val="00D34F2D"/>
    <w:rsid w:val="00D35F68"/>
    <w:rsid w:val="00D36372"/>
    <w:rsid w:val="00D3679C"/>
    <w:rsid w:val="00D41517"/>
    <w:rsid w:val="00D46580"/>
    <w:rsid w:val="00D50CB8"/>
    <w:rsid w:val="00D5170F"/>
    <w:rsid w:val="00D51F51"/>
    <w:rsid w:val="00D5513C"/>
    <w:rsid w:val="00D557E8"/>
    <w:rsid w:val="00D57590"/>
    <w:rsid w:val="00D602E5"/>
    <w:rsid w:val="00D62815"/>
    <w:rsid w:val="00D64992"/>
    <w:rsid w:val="00D66A39"/>
    <w:rsid w:val="00D708E3"/>
    <w:rsid w:val="00D71738"/>
    <w:rsid w:val="00D71ADB"/>
    <w:rsid w:val="00D71F14"/>
    <w:rsid w:val="00D71F5A"/>
    <w:rsid w:val="00D720E2"/>
    <w:rsid w:val="00D72205"/>
    <w:rsid w:val="00D72299"/>
    <w:rsid w:val="00D76BD0"/>
    <w:rsid w:val="00D76EB8"/>
    <w:rsid w:val="00D77D2D"/>
    <w:rsid w:val="00D80B25"/>
    <w:rsid w:val="00D82247"/>
    <w:rsid w:val="00D860BC"/>
    <w:rsid w:val="00D864BB"/>
    <w:rsid w:val="00D86FA0"/>
    <w:rsid w:val="00D90788"/>
    <w:rsid w:val="00D90E53"/>
    <w:rsid w:val="00D9388F"/>
    <w:rsid w:val="00D93CF9"/>
    <w:rsid w:val="00D95BBA"/>
    <w:rsid w:val="00DA0BAF"/>
    <w:rsid w:val="00DA1337"/>
    <w:rsid w:val="00DA3EB2"/>
    <w:rsid w:val="00DA4C43"/>
    <w:rsid w:val="00DA5379"/>
    <w:rsid w:val="00DA6108"/>
    <w:rsid w:val="00DB2158"/>
    <w:rsid w:val="00DB2B78"/>
    <w:rsid w:val="00DB3A63"/>
    <w:rsid w:val="00DB6D70"/>
    <w:rsid w:val="00DC01A1"/>
    <w:rsid w:val="00DC095D"/>
    <w:rsid w:val="00DC7AC4"/>
    <w:rsid w:val="00DC7D9F"/>
    <w:rsid w:val="00DD170A"/>
    <w:rsid w:val="00DD1A77"/>
    <w:rsid w:val="00DD34E3"/>
    <w:rsid w:val="00DD4469"/>
    <w:rsid w:val="00DD792C"/>
    <w:rsid w:val="00DE1556"/>
    <w:rsid w:val="00DE4443"/>
    <w:rsid w:val="00DE695F"/>
    <w:rsid w:val="00DE7E37"/>
    <w:rsid w:val="00DF167B"/>
    <w:rsid w:val="00DF2045"/>
    <w:rsid w:val="00DF25AB"/>
    <w:rsid w:val="00DF3EA8"/>
    <w:rsid w:val="00DF4D70"/>
    <w:rsid w:val="00DF71C3"/>
    <w:rsid w:val="00DF764D"/>
    <w:rsid w:val="00E00510"/>
    <w:rsid w:val="00E027FA"/>
    <w:rsid w:val="00E039D9"/>
    <w:rsid w:val="00E048AE"/>
    <w:rsid w:val="00E06072"/>
    <w:rsid w:val="00E06A48"/>
    <w:rsid w:val="00E06B6F"/>
    <w:rsid w:val="00E11BCB"/>
    <w:rsid w:val="00E11CF8"/>
    <w:rsid w:val="00E11F4A"/>
    <w:rsid w:val="00E14FEB"/>
    <w:rsid w:val="00E1526E"/>
    <w:rsid w:val="00E21150"/>
    <w:rsid w:val="00E22341"/>
    <w:rsid w:val="00E22A44"/>
    <w:rsid w:val="00E2388E"/>
    <w:rsid w:val="00E23B46"/>
    <w:rsid w:val="00E23FB3"/>
    <w:rsid w:val="00E31378"/>
    <w:rsid w:val="00E32A45"/>
    <w:rsid w:val="00E33772"/>
    <w:rsid w:val="00E363F1"/>
    <w:rsid w:val="00E36899"/>
    <w:rsid w:val="00E37D33"/>
    <w:rsid w:val="00E44519"/>
    <w:rsid w:val="00E462EA"/>
    <w:rsid w:val="00E47CAA"/>
    <w:rsid w:val="00E50D99"/>
    <w:rsid w:val="00E52807"/>
    <w:rsid w:val="00E52C93"/>
    <w:rsid w:val="00E53963"/>
    <w:rsid w:val="00E53AB3"/>
    <w:rsid w:val="00E54288"/>
    <w:rsid w:val="00E5454D"/>
    <w:rsid w:val="00E55E38"/>
    <w:rsid w:val="00E600E9"/>
    <w:rsid w:val="00E60CF1"/>
    <w:rsid w:val="00E631DC"/>
    <w:rsid w:val="00E677CD"/>
    <w:rsid w:val="00E7095D"/>
    <w:rsid w:val="00E7105A"/>
    <w:rsid w:val="00E7194B"/>
    <w:rsid w:val="00E72489"/>
    <w:rsid w:val="00E72667"/>
    <w:rsid w:val="00E72D3D"/>
    <w:rsid w:val="00E73155"/>
    <w:rsid w:val="00E766B7"/>
    <w:rsid w:val="00E770E4"/>
    <w:rsid w:val="00E77ABC"/>
    <w:rsid w:val="00E802B8"/>
    <w:rsid w:val="00E817C8"/>
    <w:rsid w:val="00E81814"/>
    <w:rsid w:val="00E82C0A"/>
    <w:rsid w:val="00E840F2"/>
    <w:rsid w:val="00E90E6C"/>
    <w:rsid w:val="00E9237E"/>
    <w:rsid w:val="00E9288E"/>
    <w:rsid w:val="00E932B2"/>
    <w:rsid w:val="00EA450F"/>
    <w:rsid w:val="00EA6DB0"/>
    <w:rsid w:val="00EB3D2D"/>
    <w:rsid w:val="00EB651D"/>
    <w:rsid w:val="00EC3377"/>
    <w:rsid w:val="00EC38D2"/>
    <w:rsid w:val="00EC5313"/>
    <w:rsid w:val="00EC7CDA"/>
    <w:rsid w:val="00ED3DF2"/>
    <w:rsid w:val="00ED6F19"/>
    <w:rsid w:val="00ED6FE8"/>
    <w:rsid w:val="00EE0281"/>
    <w:rsid w:val="00EE1C67"/>
    <w:rsid w:val="00EE2356"/>
    <w:rsid w:val="00EE34D1"/>
    <w:rsid w:val="00EE42C8"/>
    <w:rsid w:val="00EE53C0"/>
    <w:rsid w:val="00EE7232"/>
    <w:rsid w:val="00EF17F1"/>
    <w:rsid w:val="00EF2ECC"/>
    <w:rsid w:val="00EF5F0E"/>
    <w:rsid w:val="00EF66D1"/>
    <w:rsid w:val="00F027E5"/>
    <w:rsid w:val="00F03D19"/>
    <w:rsid w:val="00F0426C"/>
    <w:rsid w:val="00F04602"/>
    <w:rsid w:val="00F068B1"/>
    <w:rsid w:val="00F11410"/>
    <w:rsid w:val="00F138F6"/>
    <w:rsid w:val="00F17A3C"/>
    <w:rsid w:val="00F222DB"/>
    <w:rsid w:val="00F2325C"/>
    <w:rsid w:val="00F23718"/>
    <w:rsid w:val="00F24C76"/>
    <w:rsid w:val="00F2613E"/>
    <w:rsid w:val="00F26CDE"/>
    <w:rsid w:val="00F271BB"/>
    <w:rsid w:val="00F34C02"/>
    <w:rsid w:val="00F35C82"/>
    <w:rsid w:val="00F41FE5"/>
    <w:rsid w:val="00F43125"/>
    <w:rsid w:val="00F43891"/>
    <w:rsid w:val="00F43EDF"/>
    <w:rsid w:val="00F51B7C"/>
    <w:rsid w:val="00F57869"/>
    <w:rsid w:val="00F605BB"/>
    <w:rsid w:val="00F60A81"/>
    <w:rsid w:val="00F61547"/>
    <w:rsid w:val="00F6161C"/>
    <w:rsid w:val="00F63B98"/>
    <w:rsid w:val="00F64307"/>
    <w:rsid w:val="00F6698C"/>
    <w:rsid w:val="00F70C0C"/>
    <w:rsid w:val="00F71A50"/>
    <w:rsid w:val="00F71CC6"/>
    <w:rsid w:val="00F72760"/>
    <w:rsid w:val="00F72DE3"/>
    <w:rsid w:val="00F736F8"/>
    <w:rsid w:val="00F74062"/>
    <w:rsid w:val="00F8085A"/>
    <w:rsid w:val="00F80A2A"/>
    <w:rsid w:val="00F80E92"/>
    <w:rsid w:val="00F8318C"/>
    <w:rsid w:val="00F85BD2"/>
    <w:rsid w:val="00F85FE9"/>
    <w:rsid w:val="00F8649B"/>
    <w:rsid w:val="00F867B4"/>
    <w:rsid w:val="00F86CFB"/>
    <w:rsid w:val="00F86D8D"/>
    <w:rsid w:val="00F871CC"/>
    <w:rsid w:val="00F908FE"/>
    <w:rsid w:val="00F90CBE"/>
    <w:rsid w:val="00F91287"/>
    <w:rsid w:val="00F91973"/>
    <w:rsid w:val="00F93B59"/>
    <w:rsid w:val="00F93C14"/>
    <w:rsid w:val="00F9446B"/>
    <w:rsid w:val="00F96B93"/>
    <w:rsid w:val="00FA0A8F"/>
    <w:rsid w:val="00FA1465"/>
    <w:rsid w:val="00FA209D"/>
    <w:rsid w:val="00FA25E7"/>
    <w:rsid w:val="00FA3E91"/>
    <w:rsid w:val="00FA5D1E"/>
    <w:rsid w:val="00FA799A"/>
    <w:rsid w:val="00FB4B0B"/>
    <w:rsid w:val="00FB778A"/>
    <w:rsid w:val="00FC0F7F"/>
    <w:rsid w:val="00FC18C4"/>
    <w:rsid w:val="00FC47D0"/>
    <w:rsid w:val="00FC5AB8"/>
    <w:rsid w:val="00FC5D03"/>
    <w:rsid w:val="00FC787D"/>
    <w:rsid w:val="00FD04EE"/>
    <w:rsid w:val="00FD108A"/>
    <w:rsid w:val="00FD1310"/>
    <w:rsid w:val="00FD1F17"/>
    <w:rsid w:val="00FD552C"/>
    <w:rsid w:val="00FD5C8C"/>
    <w:rsid w:val="00FE0295"/>
    <w:rsid w:val="00FE2234"/>
    <w:rsid w:val="00FE2C97"/>
    <w:rsid w:val="00FE2E6B"/>
    <w:rsid w:val="00FE5E40"/>
    <w:rsid w:val="00FF5D37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E5D831"/>
  <w15:docId w15:val="{173DD0A2-1645-4DBB-8996-5908E9BE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BCF"/>
    <w:rPr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spacing w:before="480" w:after="3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960" w:after="3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315"/>
      <w:jc w:val="both"/>
      <w:outlineLvl w:val="3"/>
    </w:pPr>
    <w:rPr>
      <w:rFonts w:ascii="Verdana" w:hAnsi="Verdana"/>
      <w:b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"/>
    <w:qFormat/>
    <w:rsid w:val="00E8181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55F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qFormat/>
    <w:rsid w:val="00E81814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b/>
      <w:sz w:val="20"/>
      <w:szCs w:val="20"/>
      <w:lang w:val="en-US"/>
    </w:rPr>
  </w:style>
  <w:style w:type="paragraph" w:styleId="Recuodecorpodetexto">
    <w:name w:val="Body Text Indent"/>
    <w:basedOn w:val="Normal"/>
    <w:link w:val="RecuodecorpodetextoChar"/>
    <w:uiPriority w:val="99"/>
    <w:pPr>
      <w:spacing w:after="120"/>
      <w:ind w:left="283"/>
    </w:pPr>
    <w:rPr>
      <w:sz w:val="20"/>
      <w:szCs w:val="20"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011">
    <w:name w:val="font011"/>
    <w:rPr>
      <w:rFonts w:ascii="Verdana" w:hAnsi="Verdana" w:hint="default"/>
      <w:b w:val="0"/>
      <w:bCs w:val="0"/>
      <w:i w:val="0"/>
      <w:iCs w:val="0"/>
      <w:sz w:val="15"/>
      <w:szCs w:val="15"/>
    </w:rPr>
  </w:style>
  <w:style w:type="paragraph" w:styleId="Textodebalo">
    <w:name w:val="Balloon Text"/>
    <w:basedOn w:val="Normal"/>
    <w:link w:val="TextodebaloChar"/>
    <w:uiPriority w:val="99"/>
    <w:semiHidden/>
    <w:rsid w:val="00CF7529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6B0CAF"/>
  </w:style>
  <w:style w:type="paragraph" w:customStyle="1" w:styleId="ListaColorida-nfase11">
    <w:name w:val="Lista Colorida - Ênfase 11"/>
    <w:basedOn w:val="Normal"/>
    <w:uiPriority w:val="34"/>
    <w:qFormat/>
    <w:rsid w:val="00E932B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Ttulo5Char">
    <w:name w:val="Título 5 Char"/>
    <w:link w:val="Ttulo5"/>
    <w:uiPriority w:val="9"/>
    <w:semiHidden/>
    <w:rsid w:val="00E8181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9Char">
    <w:name w:val="Título 9 Char"/>
    <w:link w:val="Ttulo9"/>
    <w:uiPriority w:val="9"/>
    <w:semiHidden/>
    <w:rsid w:val="00E81814"/>
    <w:rPr>
      <w:rFonts w:ascii="Cambria" w:eastAsia="Times New Roman" w:hAnsi="Cambria" w:cs="Times New Roman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unhideWhenUsed/>
    <w:rsid w:val="00E81814"/>
    <w:pPr>
      <w:spacing w:after="120" w:line="480" w:lineRule="auto"/>
    </w:pPr>
    <w:rPr>
      <w:lang w:val="x-none" w:eastAsia="x-none"/>
    </w:rPr>
  </w:style>
  <w:style w:type="character" w:customStyle="1" w:styleId="Corpodetexto2Char">
    <w:name w:val="Corpo de texto 2 Char"/>
    <w:link w:val="Corpodetexto2"/>
    <w:uiPriority w:val="99"/>
    <w:rsid w:val="00E81814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E81814"/>
    <w:pPr>
      <w:spacing w:after="120" w:line="480" w:lineRule="auto"/>
      <w:ind w:left="283"/>
    </w:pPr>
    <w:rPr>
      <w:lang w:val="x-none" w:eastAsia="x-none"/>
    </w:rPr>
  </w:style>
  <w:style w:type="character" w:customStyle="1" w:styleId="Recuodecorpodetexto2Char">
    <w:name w:val="Recuo de corpo de texto 2 Char"/>
    <w:link w:val="Recuodecorpodetexto2"/>
    <w:uiPriority w:val="99"/>
    <w:semiHidden/>
    <w:rsid w:val="00E81814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8181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uiPriority w:val="99"/>
    <w:rsid w:val="00E81814"/>
    <w:rPr>
      <w:sz w:val="16"/>
      <w:szCs w:val="16"/>
    </w:rPr>
  </w:style>
  <w:style w:type="paragraph" w:customStyle="1" w:styleId="11">
    <w:name w:val="11"/>
    <w:basedOn w:val="Normal"/>
    <w:rsid w:val="00E81814"/>
    <w:pPr>
      <w:jc w:val="both"/>
    </w:pPr>
    <w:rPr>
      <w:rFonts w:ascii="Arial" w:hAnsi="Arial"/>
      <w:b/>
      <w:sz w:val="22"/>
      <w:szCs w:val="20"/>
    </w:rPr>
  </w:style>
  <w:style w:type="paragraph" w:styleId="Ttulo">
    <w:name w:val="Title"/>
    <w:basedOn w:val="Normal"/>
    <w:link w:val="TtuloChar"/>
    <w:uiPriority w:val="10"/>
    <w:qFormat/>
    <w:rsid w:val="00E81814"/>
    <w:pPr>
      <w:jc w:val="center"/>
    </w:pPr>
    <w:rPr>
      <w:b/>
      <w:bCs/>
      <w:lang w:val="x-none" w:eastAsia="x-none"/>
    </w:rPr>
  </w:style>
  <w:style w:type="character" w:customStyle="1" w:styleId="TtuloChar">
    <w:name w:val="Título Char"/>
    <w:link w:val="Ttulo"/>
    <w:rsid w:val="00E81814"/>
    <w:rPr>
      <w:b/>
      <w:bCs/>
      <w:sz w:val="24"/>
      <w:szCs w:val="24"/>
    </w:rPr>
  </w:style>
  <w:style w:type="table" w:styleId="Tabelacomgrade">
    <w:name w:val="Table Grid"/>
    <w:basedOn w:val="Tabelanormal"/>
    <w:uiPriority w:val="59"/>
    <w:rsid w:val="00492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032628"/>
    <w:rPr>
      <w:b/>
      <w:bCs/>
      <w:i w:val="0"/>
      <w:iCs w:val="0"/>
    </w:rPr>
  </w:style>
  <w:style w:type="paragraph" w:customStyle="1" w:styleId="Texto">
    <w:name w:val="Texto"/>
    <w:basedOn w:val="Normal"/>
    <w:link w:val="TextoChar"/>
    <w:qFormat/>
    <w:rsid w:val="007D4DCF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character" w:styleId="Forte">
    <w:name w:val="Strong"/>
    <w:uiPriority w:val="22"/>
    <w:qFormat/>
    <w:rsid w:val="007D4DCF"/>
    <w:rPr>
      <w:b/>
      <w:bCs/>
    </w:rPr>
  </w:style>
  <w:style w:type="paragraph" w:customStyle="1" w:styleId="Default">
    <w:name w:val="Default"/>
    <w:rsid w:val="008226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Char">
    <w:name w:val="Texto Char"/>
    <w:link w:val="Texto"/>
    <w:rsid w:val="004B4038"/>
    <w:rPr>
      <w:rFonts w:ascii="Verdana" w:hAnsi="Verdana"/>
      <w:sz w:val="18"/>
      <w:szCs w:val="18"/>
    </w:rPr>
  </w:style>
  <w:style w:type="character" w:customStyle="1" w:styleId="RodapChar">
    <w:name w:val="Rodapé Char"/>
    <w:link w:val="Rodap"/>
    <w:uiPriority w:val="99"/>
    <w:rsid w:val="00723D2C"/>
  </w:style>
  <w:style w:type="paragraph" w:customStyle="1" w:styleId="Ttulox2">
    <w:name w:val="Título x2"/>
    <w:basedOn w:val="Normal"/>
    <w:rsid w:val="00390C21"/>
    <w:pPr>
      <w:spacing w:after="120" w:line="360" w:lineRule="auto"/>
      <w:jc w:val="both"/>
    </w:pPr>
    <w:rPr>
      <w:rFonts w:ascii="Verdana" w:hAnsi="Verdana"/>
      <w:b/>
      <w:bCs/>
      <w:szCs w:val="18"/>
      <w:u w:val="single"/>
    </w:rPr>
  </w:style>
  <w:style w:type="paragraph" w:customStyle="1" w:styleId="GradeMdia21">
    <w:name w:val="Grade Média 21"/>
    <w:uiPriority w:val="1"/>
    <w:qFormat/>
    <w:rsid w:val="008D01DF"/>
    <w:rPr>
      <w:rFonts w:eastAsia="Batang"/>
      <w:sz w:val="24"/>
      <w:szCs w:val="24"/>
    </w:rPr>
  </w:style>
  <w:style w:type="character" w:customStyle="1" w:styleId="Bodytext2">
    <w:name w:val="Body text (2)_"/>
    <w:link w:val="Bodytext20"/>
    <w:rsid w:val="00F96B93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Bodytext2Bold">
    <w:name w:val="Body text (2) + Bold"/>
    <w:rsid w:val="00F96B93"/>
    <w:rPr>
      <w:rFonts w:ascii="Arial" w:eastAsia="Arial" w:hAnsi="Arial" w:cs="Arial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pt-PT" w:eastAsia="pt-PT" w:bidi="pt-PT"/>
    </w:rPr>
  </w:style>
  <w:style w:type="paragraph" w:customStyle="1" w:styleId="Bodytext20">
    <w:name w:val="Body text (2)"/>
    <w:basedOn w:val="Normal"/>
    <w:link w:val="Bodytext2"/>
    <w:rsid w:val="00F96B93"/>
    <w:pPr>
      <w:widowControl w:val="0"/>
      <w:shd w:val="clear" w:color="auto" w:fill="FFFFFF"/>
      <w:spacing w:before="300" w:line="342" w:lineRule="exact"/>
      <w:ind w:hanging="220"/>
      <w:jc w:val="both"/>
    </w:pPr>
    <w:rPr>
      <w:rFonts w:ascii="Arial" w:eastAsia="Arial" w:hAnsi="Arial"/>
      <w:sz w:val="28"/>
      <w:szCs w:val="28"/>
      <w:lang w:val="x-none" w:eastAsia="x-none"/>
    </w:rPr>
  </w:style>
  <w:style w:type="character" w:customStyle="1" w:styleId="Heading1">
    <w:name w:val="Heading #1_"/>
    <w:link w:val="Heading1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F96B93"/>
    <w:pPr>
      <w:widowControl w:val="0"/>
      <w:shd w:val="clear" w:color="auto" w:fill="FFFFFF"/>
      <w:spacing w:after="300" w:line="360" w:lineRule="exact"/>
      <w:ind w:hanging="220"/>
      <w:outlineLvl w:val="0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odytext7">
    <w:name w:val="Body text (7)_"/>
    <w:link w:val="Bodytext70"/>
    <w:rsid w:val="00F96B93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F96B93"/>
    <w:pPr>
      <w:widowControl w:val="0"/>
      <w:shd w:val="clear" w:color="auto" w:fill="FFFFFF"/>
      <w:spacing w:after="420" w:line="0" w:lineRule="atLeast"/>
    </w:pPr>
    <w:rPr>
      <w:rFonts w:ascii="Arial" w:eastAsia="Arial" w:hAnsi="Arial"/>
      <w:b/>
      <w:bCs/>
      <w:sz w:val="28"/>
      <w:szCs w:val="28"/>
      <w:lang w:val="x-none" w:eastAsia="x-none"/>
    </w:rPr>
  </w:style>
  <w:style w:type="character" w:customStyle="1" w:styleId="baddress">
    <w:name w:val="b_address"/>
    <w:rsid w:val="00F96B93"/>
  </w:style>
  <w:style w:type="paragraph" w:styleId="NormalWeb">
    <w:name w:val="Normal (Web)"/>
    <w:basedOn w:val="Normal"/>
    <w:uiPriority w:val="99"/>
    <w:semiHidden/>
    <w:unhideWhenUsed/>
    <w:rsid w:val="005151B1"/>
    <w:pPr>
      <w:spacing w:before="100" w:beforeAutospacing="1" w:after="100" w:afterAutospacing="1"/>
    </w:pPr>
  </w:style>
  <w:style w:type="paragraph" w:styleId="Pr-formataoHTML">
    <w:name w:val="HTML Preformatted"/>
    <w:basedOn w:val="Normal"/>
    <w:link w:val="Pr-formataoHTMLChar"/>
    <w:uiPriority w:val="99"/>
    <w:unhideWhenUsed/>
    <w:rsid w:val="00FC7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Pr-formataoHTMLChar">
    <w:name w:val="Pré-formatação HTML Char"/>
    <w:link w:val="Pr-formataoHTML"/>
    <w:uiPriority w:val="99"/>
    <w:rsid w:val="00FC787D"/>
    <w:rPr>
      <w:rFonts w:ascii="Courier New" w:hAnsi="Courier New" w:cs="Courier New"/>
    </w:rPr>
  </w:style>
  <w:style w:type="paragraph" w:customStyle="1" w:styleId="wTexto">
    <w:name w:val="wTexto"/>
    <w:basedOn w:val="Normal"/>
    <w:link w:val="wTextoChar"/>
    <w:qFormat/>
    <w:rsid w:val="002733C2"/>
    <w:pPr>
      <w:spacing w:after="120" w:line="360" w:lineRule="auto"/>
      <w:ind w:firstLine="709"/>
      <w:jc w:val="both"/>
    </w:pPr>
    <w:rPr>
      <w:rFonts w:ascii="Verdana" w:hAnsi="Verdana"/>
      <w:sz w:val="18"/>
      <w:szCs w:val="18"/>
      <w:lang w:val="x-none" w:eastAsia="x-none"/>
    </w:rPr>
  </w:style>
  <w:style w:type="paragraph" w:styleId="Sumrio6">
    <w:name w:val="toc 6"/>
    <w:aliases w:val="wÍndice 6"/>
    <w:basedOn w:val="Sumrio1"/>
    <w:next w:val="wTexto"/>
    <w:autoRedefine/>
    <w:uiPriority w:val="39"/>
    <w:unhideWhenUsed/>
    <w:rsid w:val="002733C2"/>
    <w:pPr>
      <w:tabs>
        <w:tab w:val="right" w:leader="dot" w:pos="9514"/>
      </w:tabs>
      <w:spacing w:line="360" w:lineRule="auto"/>
      <w:jc w:val="both"/>
    </w:pPr>
    <w:rPr>
      <w:rFonts w:ascii="Verdana" w:hAnsi="Verdana"/>
      <w:caps/>
      <w:sz w:val="16"/>
      <w:szCs w:val="18"/>
    </w:rPr>
  </w:style>
  <w:style w:type="character" w:customStyle="1" w:styleId="wTextoChar">
    <w:name w:val="wTexto Char"/>
    <w:link w:val="wTexto"/>
    <w:rsid w:val="002733C2"/>
    <w:rPr>
      <w:rFonts w:ascii="Verdana" w:hAnsi="Verdana"/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2733C2"/>
  </w:style>
  <w:style w:type="paragraph" w:styleId="PargrafodaLista">
    <w:name w:val="List Paragraph"/>
    <w:aliases w:val="Lista Paragrafo em Preto,Itemização,Paragraph,List1,List11,List111,List1111"/>
    <w:basedOn w:val="Normal"/>
    <w:link w:val="PargrafodaListaChar"/>
    <w:uiPriority w:val="1"/>
    <w:qFormat/>
    <w:rsid w:val="00293CAB"/>
    <w:pPr>
      <w:suppressAutoHyphens/>
      <w:ind w:left="720"/>
      <w:contextualSpacing/>
    </w:pPr>
    <w:rPr>
      <w:rFonts w:ascii="Arial" w:hAnsi="Arial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CC29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C29B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C29BB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29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29BB"/>
    <w:rPr>
      <w:b/>
      <w:bCs/>
    </w:rPr>
  </w:style>
  <w:style w:type="paragraph" w:styleId="Reviso">
    <w:name w:val="Revision"/>
    <w:hidden/>
    <w:uiPriority w:val="99"/>
    <w:semiHidden/>
    <w:rsid w:val="00CC29BB"/>
    <w:rPr>
      <w:sz w:val="24"/>
      <w:szCs w:val="24"/>
    </w:rPr>
  </w:style>
  <w:style w:type="paragraph" w:customStyle="1" w:styleId="wTTULOXXX">
    <w:name w:val="wTÍTULO X.X.X."/>
    <w:basedOn w:val="Normal"/>
    <w:next w:val="wTexto"/>
    <w:qFormat/>
    <w:rsid w:val="008403BA"/>
    <w:pPr>
      <w:spacing w:before="240" w:after="120" w:line="360" w:lineRule="auto"/>
      <w:jc w:val="both"/>
    </w:pPr>
    <w:rPr>
      <w:rFonts w:ascii="Verdana" w:hAnsi="Verdana"/>
      <w:i/>
      <w:iCs/>
      <w:caps/>
      <w:sz w:val="18"/>
      <w:szCs w:val="20"/>
      <w:u w:val="single"/>
    </w:rPr>
  </w:style>
  <w:style w:type="paragraph" w:customStyle="1" w:styleId="wQuebra">
    <w:name w:val="wQuebra"/>
    <w:basedOn w:val="wTexto"/>
    <w:next w:val="wTexto"/>
    <w:qFormat/>
    <w:rsid w:val="008403BA"/>
    <w:pPr>
      <w:pageBreakBefore/>
      <w:spacing w:after="0" w:line="240" w:lineRule="auto"/>
      <w:ind w:firstLine="0"/>
    </w:pPr>
    <w:rPr>
      <w:sz w:val="4"/>
      <w:lang w:val="pt-BR" w:eastAsia="pt-BR"/>
    </w:rPr>
  </w:style>
  <w:style w:type="paragraph" w:customStyle="1" w:styleId="Pa2">
    <w:name w:val="Pa2"/>
    <w:basedOn w:val="Normal"/>
    <w:next w:val="Normal"/>
    <w:uiPriority w:val="99"/>
    <w:rsid w:val="00AB59E9"/>
    <w:pPr>
      <w:autoSpaceDE w:val="0"/>
      <w:autoSpaceDN w:val="0"/>
      <w:adjustRightInd w:val="0"/>
      <w:spacing w:line="201" w:lineRule="atLeast"/>
    </w:pPr>
    <w:rPr>
      <w:rFonts w:ascii="Esphimere" w:eastAsiaTheme="minorHAnsi" w:hAnsi="Esphimere" w:cstheme="minorBidi"/>
      <w:lang w:eastAsia="en-US"/>
    </w:rPr>
  </w:style>
  <w:style w:type="character" w:customStyle="1" w:styleId="PargrafodaListaChar">
    <w:name w:val="Parágrafo da Lista Char"/>
    <w:aliases w:val="Lista Paragrafo em Preto Char,Itemização Char,Paragraph Char,List1 Char,List11 Char,List111 Char,List1111 Char"/>
    <w:basedOn w:val="Fontepargpadro"/>
    <w:link w:val="PargrafodaLista"/>
    <w:uiPriority w:val="34"/>
    <w:locked/>
    <w:rsid w:val="00AB59E9"/>
    <w:rPr>
      <w:rFonts w:ascii="Arial" w:hAnsi="Arial"/>
      <w:lang w:eastAsia="ar-SA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59E9"/>
    <w:rPr>
      <w:rFonts w:ascii="Tahoma" w:hAnsi="Tahoma" w:cs="Tahoma"/>
      <w:sz w:val="16"/>
      <w:szCs w:val="16"/>
    </w:rPr>
  </w:style>
  <w:style w:type="paragraph" w:customStyle="1" w:styleId="ECFontesQuadro">
    <w:name w:val="EC Fontes Quadro"/>
    <w:basedOn w:val="Normal"/>
    <w:next w:val="Normal"/>
    <w:rsid w:val="00AB59E9"/>
    <w:pPr>
      <w:spacing w:before="120" w:after="240" w:line="260" w:lineRule="atLeast"/>
      <w:jc w:val="both"/>
    </w:pPr>
    <w:rPr>
      <w:rFonts w:ascii="Calibri" w:hAnsi="Calibri"/>
      <w:sz w:val="18"/>
      <w:szCs w:val="16"/>
    </w:rPr>
  </w:style>
  <w:style w:type="character" w:customStyle="1" w:styleId="CorpodetextoChar">
    <w:name w:val="Corpo de texto Char"/>
    <w:basedOn w:val="Fontepargpadro"/>
    <w:link w:val="Corpodetexto"/>
    <w:rsid w:val="00AB59E9"/>
    <w:rPr>
      <w:b/>
      <w:lang w:val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B59E9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59E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59E9"/>
    <w:rPr>
      <w:rFonts w:asciiTheme="minorHAnsi" w:eastAsiaTheme="minorHAnsi" w:hAnsiTheme="minorHAnsi" w:cstheme="minorBidi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AB59E9"/>
    <w:rPr>
      <w:vertAlign w:val="superscript"/>
    </w:rPr>
  </w:style>
  <w:style w:type="paragraph" w:styleId="Numerada">
    <w:name w:val="List Number"/>
    <w:basedOn w:val="Normal"/>
    <w:uiPriority w:val="99"/>
    <w:unhideWhenUsed/>
    <w:rsid w:val="00AB59E9"/>
    <w:pPr>
      <w:numPr>
        <w:numId w:val="7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ubitens">
    <w:name w:val="Subitens"/>
    <w:basedOn w:val="Numerada"/>
    <w:rsid w:val="00AB59E9"/>
    <w:pPr>
      <w:numPr>
        <w:numId w:val="0"/>
      </w:numPr>
      <w:tabs>
        <w:tab w:val="num" w:pos="360"/>
      </w:tabs>
      <w:spacing w:before="240" w:after="280" w:line="360" w:lineRule="auto"/>
      <w:ind w:left="357" w:hanging="357"/>
      <w:contextualSpacing w:val="0"/>
      <w:jc w:val="both"/>
    </w:pPr>
    <w:rPr>
      <w:rFonts w:ascii="Times New Roman" w:eastAsia="Batang" w:hAnsi="Times New Roman" w:cs="Times New Roman"/>
      <w:szCs w:val="24"/>
      <w:lang w:val="en-US" w:eastAsia="ko-KR"/>
    </w:rPr>
  </w:style>
  <w:style w:type="table" w:customStyle="1" w:styleId="TableNormal">
    <w:name w:val="Table Normal"/>
    <w:uiPriority w:val="2"/>
    <w:semiHidden/>
    <w:unhideWhenUsed/>
    <w:qFormat/>
    <w:rsid w:val="006F3BC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3BC1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F3BC1"/>
  </w:style>
  <w:style w:type="paragraph" w:customStyle="1" w:styleId="TTULOXX">
    <w:name w:val="TÍTULO X.X."/>
    <w:basedOn w:val="Normal"/>
    <w:qFormat/>
    <w:rsid w:val="006F3BC1"/>
    <w:pPr>
      <w:spacing w:after="120" w:line="360" w:lineRule="auto"/>
      <w:jc w:val="both"/>
    </w:pPr>
    <w:rPr>
      <w:rFonts w:ascii="Verdana" w:hAnsi="Verdana"/>
      <w:b/>
      <w:bCs/>
      <w:i/>
      <w:iCs/>
      <w:sz w:val="18"/>
      <w:szCs w:val="20"/>
      <w:u w:val="single"/>
    </w:rPr>
  </w:style>
  <w:style w:type="paragraph" w:customStyle="1" w:styleId="TTULOXXX">
    <w:name w:val="TÍTULO 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tuloxxxx">
    <w:name w:val="Título x.x.x.x."/>
    <w:basedOn w:val="Normal"/>
    <w:qFormat/>
    <w:rsid w:val="006F3BC1"/>
    <w:pPr>
      <w:spacing w:after="120" w:line="360" w:lineRule="auto"/>
      <w:jc w:val="both"/>
    </w:pPr>
    <w:rPr>
      <w:rFonts w:ascii="Verdana" w:hAnsi="Verdana"/>
      <w:i/>
      <w:iCs/>
      <w:sz w:val="18"/>
      <w:szCs w:val="20"/>
      <w:u w:val="single"/>
    </w:rPr>
  </w:style>
  <w:style w:type="paragraph" w:customStyle="1" w:styleId="Tabela">
    <w:name w:val="Tabela"/>
    <w:basedOn w:val="Normal"/>
    <w:qFormat/>
    <w:rsid w:val="006F3BC1"/>
    <w:pPr>
      <w:spacing w:after="120"/>
      <w:jc w:val="both"/>
    </w:pPr>
    <w:rPr>
      <w:rFonts w:ascii="Verdana" w:hAnsi="Verdana"/>
      <w:b/>
      <w:iCs/>
      <w:sz w:val="16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78167D"/>
    <w:rPr>
      <w:color w:val="605E5C"/>
      <w:shd w:val="clear" w:color="auto" w:fill="E1DFDD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55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0D52EF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0D52EF"/>
    <w:pPr>
      <w:spacing w:after="100" w:line="360" w:lineRule="auto"/>
      <w:ind w:left="400"/>
      <w:jc w:val="both"/>
    </w:pPr>
    <w:rPr>
      <w:rFonts w:ascii="Arial" w:hAnsi="Arial"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E06A48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851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650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1550">
                  <w:marLeft w:val="2385"/>
                  <w:marRight w:val="396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482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25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1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293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2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1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145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2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1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0E3C-AFF2-4CA5-A805-1DA8BF12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19</Pages>
  <Words>4193</Words>
  <Characters>26164</Characters>
  <Application>Microsoft Office Word</Application>
  <DocSecurity>0</DocSecurity>
  <Lines>218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PROCURAÇÃO</vt:lpstr>
    </vt:vector>
  </TitlesOfParts>
  <Company>alessandro perencin</Company>
  <LinksUpToDate>false</LinksUpToDate>
  <CharactersWithSpaces>30297</CharactersWithSpaces>
  <SharedDoc>false</SharedDoc>
  <HLinks>
    <vt:vector size="12" baseType="variant">
      <vt:variant>
        <vt:i4>1704023</vt:i4>
      </vt:variant>
      <vt:variant>
        <vt:i4>57</vt:i4>
      </vt:variant>
      <vt:variant>
        <vt:i4>0</vt:i4>
      </vt:variant>
      <vt:variant>
        <vt:i4>5</vt:i4>
      </vt:variant>
      <vt:variant>
        <vt:lpwstr>http://www.marilia.sp.gov.br/prefeitura/wp-content/uploads/2014/11/Plano-de-Gestao-Integrada-de-Residuos-Solidos.pdf</vt:lpwstr>
      </vt:variant>
      <vt:variant>
        <vt:lpwstr/>
      </vt:variant>
      <vt:variant>
        <vt:i4>655374</vt:i4>
      </vt:variant>
      <vt:variant>
        <vt:i4>3</vt:i4>
      </vt:variant>
      <vt:variant>
        <vt:i4>0</vt:i4>
      </vt:variant>
      <vt:variant>
        <vt:i4>5</vt:i4>
      </vt:variant>
      <vt:variant>
        <vt:lpwstr>\\srvdc\ADMINISTRATIVO_FINANCEIRO\FINANCEIRO ANDREA\WBIO\MODELOS\www.wbioambiental.com.br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PROCURAÇÃO</dc:title>
  <dc:subject/>
  <dc:creator>XXX</dc:creator>
  <cp:keywords/>
  <dc:description/>
  <cp:lastModifiedBy>Cristiano Sammarone</cp:lastModifiedBy>
  <cp:revision>10</cp:revision>
  <cp:lastPrinted>2025-09-04T19:31:00Z</cp:lastPrinted>
  <dcterms:created xsi:type="dcterms:W3CDTF">2025-12-10T15:19:00Z</dcterms:created>
  <dcterms:modified xsi:type="dcterms:W3CDTF">2025-12-19T14:08:00Z</dcterms:modified>
</cp:coreProperties>
</file>